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14F7" w14:textId="77777777" w:rsidR="003B2D5A" w:rsidRPr="00A63394" w:rsidRDefault="003B2D5A" w:rsidP="003B2D5A">
      <w:pPr>
        <w:pStyle w:val="Tytu"/>
      </w:pPr>
      <w:r w:rsidRPr="00A63394">
        <w:t>POROZUMIENIE</w:t>
      </w:r>
      <w:r w:rsidR="00D913F7">
        <w:t xml:space="preserve"> O WSPÓŁPRACY</w:t>
      </w:r>
    </w:p>
    <w:p w14:paraId="22213700" w14:textId="77777777" w:rsidR="003B2D5A" w:rsidRDefault="003B2D5A" w:rsidP="003B2D5A">
      <w:pPr>
        <w:spacing w:before="120" w:line="360" w:lineRule="auto"/>
        <w:jc w:val="both"/>
      </w:pPr>
    </w:p>
    <w:p w14:paraId="6F47CACC" w14:textId="77777777" w:rsidR="003B2D5A" w:rsidRDefault="003B2D5A" w:rsidP="00EC299D">
      <w:pPr>
        <w:spacing w:before="120"/>
        <w:jc w:val="both"/>
      </w:pPr>
      <w:r w:rsidRPr="00A63394">
        <w:t>Niniej</w:t>
      </w:r>
      <w:r>
        <w:t>sze Porozumienie</w:t>
      </w:r>
      <w:r w:rsidR="00834881">
        <w:t>, zwane dalej „Porozumieniem”,</w:t>
      </w:r>
      <w:r>
        <w:t xml:space="preserve"> zostało zawarte</w:t>
      </w:r>
      <w:r w:rsidRPr="00A63394">
        <w:t xml:space="preserve"> w dniu </w:t>
      </w:r>
      <w:r>
        <w:t>………………… roku</w:t>
      </w:r>
      <w:r w:rsidRPr="00A63394">
        <w:t xml:space="preserve">, w </w:t>
      </w:r>
      <w:r>
        <w:t>Warszawie</w:t>
      </w:r>
      <w:r w:rsidRPr="00A63394">
        <w:t>, pomiędzy:</w:t>
      </w:r>
    </w:p>
    <w:p w14:paraId="303BDF1C" w14:textId="77777777" w:rsidR="003B2D5A" w:rsidRDefault="003B2D5A" w:rsidP="00EC299D">
      <w:pPr>
        <w:spacing w:before="120"/>
        <w:jc w:val="both"/>
      </w:pPr>
    </w:p>
    <w:p w14:paraId="03EAF756" w14:textId="77777777" w:rsidR="003B2D5A" w:rsidRDefault="003B2D5A" w:rsidP="00EC299D">
      <w:pPr>
        <w:pStyle w:val="Tekstpodstawowy2"/>
        <w:spacing w:after="0" w:line="240" w:lineRule="auto"/>
        <w:jc w:val="both"/>
      </w:pPr>
      <w:r w:rsidRPr="00D913F7">
        <w:rPr>
          <w:b/>
        </w:rPr>
        <w:t>Zarządc</w:t>
      </w:r>
      <w:r w:rsidR="00C36731">
        <w:rPr>
          <w:b/>
        </w:rPr>
        <w:t>ą</w:t>
      </w:r>
      <w:r w:rsidRPr="00D913F7">
        <w:rPr>
          <w:b/>
        </w:rPr>
        <w:t xml:space="preserve"> Rozliczeń Spółk</w:t>
      </w:r>
      <w:r w:rsidR="00A43D3E">
        <w:rPr>
          <w:b/>
        </w:rPr>
        <w:t>ą</w:t>
      </w:r>
      <w:r w:rsidRPr="00D913F7">
        <w:rPr>
          <w:b/>
        </w:rPr>
        <w:t xml:space="preserve"> Akcyjn</w:t>
      </w:r>
      <w:r w:rsidR="00A43D3E">
        <w:rPr>
          <w:b/>
        </w:rPr>
        <w:t>ą</w:t>
      </w:r>
      <w:r w:rsidRPr="00A63394">
        <w:t xml:space="preserve"> z siedzibą w Warszawie, ul. </w:t>
      </w:r>
      <w:r w:rsidR="0091432A">
        <w:t>Wilcz</w:t>
      </w:r>
      <w:r w:rsidR="00A43D3E">
        <w:t>a</w:t>
      </w:r>
      <w:r w:rsidRPr="00A63394">
        <w:t xml:space="preserve"> </w:t>
      </w:r>
      <w:r w:rsidR="0091432A">
        <w:t>50/52</w:t>
      </w:r>
      <w:r w:rsidRPr="00A63394">
        <w:t>, 00-</w:t>
      </w:r>
      <w:r w:rsidR="0091432A">
        <w:t>679</w:t>
      </w:r>
      <w:r w:rsidRPr="00A63394">
        <w:t xml:space="preserve"> Warszawa, o kapitale zakładowym w wysokości </w:t>
      </w:r>
      <w:r w:rsidRPr="00EC299D">
        <w:t>500.000</w:t>
      </w:r>
      <w:r w:rsidR="00A43D3E">
        <w:t>,00</w:t>
      </w:r>
      <w:r w:rsidRPr="00EC299D">
        <w:t xml:space="preserve"> zł</w:t>
      </w:r>
      <w:r w:rsidRPr="00A63394">
        <w:t xml:space="preserve">, </w:t>
      </w:r>
      <w:r>
        <w:t>opłaconym w całości, NIP 701-009-57-09</w:t>
      </w:r>
      <w:r w:rsidR="00241889">
        <w:t>,</w:t>
      </w:r>
      <w:r>
        <w:t xml:space="preserve"> </w:t>
      </w:r>
      <w:r w:rsidRPr="00A63394">
        <w:t xml:space="preserve">wpisaną do </w:t>
      </w:r>
      <w:r w:rsidR="00D913F7">
        <w:t>r</w:t>
      </w:r>
      <w:r w:rsidRPr="00A63394">
        <w:t xml:space="preserve">ejestru </w:t>
      </w:r>
      <w:r w:rsidR="00D913F7">
        <w:t>p</w:t>
      </w:r>
      <w:r w:rsidRPr="00A63394">
        <w:t>rzedsiębiorców Krajowego Rejestru S</w:t>
      </w:r>
      <w:r>
        <w:t>ądowego, prowadzonego przez Sąd</w:t>
      </w:r>
      <w:r w:rsidRPr="00EC299D">
        <w:t xml:space="preserve"> Rejonowy dla m.st. Warszawy, XII Wydział Krajowego Rejestru Sądowego</w:t>
      </w:r>
      <w:r w:rsidRPr="00A63394">
        <w:t xml:space="preserve">, pod numerem KRS </w:t>
      </w:r>
      <w:r w:rsidRPr="00EC299D">
        <w:t>0000292313</w:t>
      </w:r>
      <w:r w:rsidRPr="00A63394">
        <w:t>, reprezentowaną przez:</w:t>
      </w:r>
    </w:p>
    <w:p w14:paraId="681F60A0" w14:textId="77777777" w:rsidR="003B2D5A" w:rsidRPr="00EC299D" w:rsidRDefault="003B2D5A" w:rsidP="00EC299D">
      <w:pPr>
        <w:pStyle w:val="Tekstpodstawowy2"/>
        <w:spacing w:after="0" w:line="240" w:lineRule="auto"/>
        <w:jc w:val="both"/>
      </w:pPr>
    </w:p>
    <w:p w14:paraId="16CAD7C8" w14:textId="5689A034" w:rsidR="003B2D5A" w:rsidRDefault="00313CB1" w:rsidP="00EC299D">
      <w:pPr>
        <w:ind w:left="702"/>
        <w:jc w:val="both"/>
      </w:pPr>
      <w:r>
        <w:t>Jana Bogolubowa</w:t>
      </w:r>
      <w:r w:rsidR="003B2D5A">
        <w:tab/>
        <w:t xml:space="preserve">– </w:t>
      </w:r>
      <w:r>
        <w:t>Prezesa Zarządu</w:t>
      </w:r>
    </w:p>
    <w:p w14:paraId="7EC4DE95" w14:textId="77777777" w:rsidR="003B2D5A" w:rsidRDefault="003B2D5A" w:rsidP="00EC299D">
      <w:pPr>
        <w:spacing w:before="120"/>
        <w:jc w:val="both"/>
      </w:pPr>
      <w:r>
        <w:t>zwaną dalej „Z</w:t>
      </w:r>
      <w:r w:rsidR="00241889">
        <w:t>arządc</w:t>
      </w:r>
      <w:r w:rsidR="00A43D3E">
        <w:t>ą</w:t>
      </w:r>
      <w:r w:rsidR="00241889">
        <w:t xml:space="preserve"> </w:t>
      </w:r>
      <w:r>
        <w:t>R</w:t>
      </w:r>
      <w:r w:rsidR="00241889">
        <w:t>ozliczeń</w:t>
      </w:r>
      <w:r w:rsidR="00EB45C9">
        <w:t xml:space="preserve"> S</w:t>
      </w:r>
      <w:r w:rsidR="00241889">
        <w:t>.</w:t>
      </w:r>
      <w:r w:rsidR="00EB45C9">
        <w:t>A</w:t>
      </w:r>
      <w:r w:rsidR="00241889">
        <w:t>.</w:t>
      </w:r>
      <w:r w:rsidR="00EB45C9">
        <w:t xml:space="preserve">” ; </w:t>
      </w:r>
    </w:p>
    <w:p w14:paraId="619BEC8B" w14:textId="77777777" w:rsidR="003B2D5A" w:rsidRDefault="003B2D5A" w:rsidP="00EC299D">
      <w:pPr>
        <w:spacing w:before="120"/>
        <w:ind w:left="720" w:hanging="720"/>
        <w:jc w:val="both"/>
      </w:pPr>
      <w:r>
        <w:t>oraz</w:t>
      </w:r>
    </w:p>
    <w:p w14:paraId="35CE786C" w14:textId="77777777" w:rsidR="00D913F7" w:rsidRDefault="00D913F7" w:rsidP="00EC299D">
      <w:pPr>
        <w:pStyle w:val="Tekstpodstawowy2"/>
        <w:spacing w:after="0" w:line="240" w:lineRule="auto"/>
        <w:jc w:val="both"/>
      </w:pPr>
    </w:p>
    <w:p w14:paraId="4CEE9E9A" w14:textId="77777777" w:rsidR="003B2D5A" w:rsidRDefault="00D913F7" w:rsidP="00EC299D">
      <w:pPr>
        <w:pStyle w:val="Tekstpodstawowy2"/>
        <w:spacing w:after="0" w:line="240" w:lineRule="auto"/>
        <w:jc w:val="both"/>
      </w:pPr>
      <w:r>
        <w:t>…………………………………… z siedzibą w …………., ul</w:t>
      </w:r>
      <w:r w:rsidR="00786603">
        <w:t>.</w:t>
      </w:r>
      <w:r>
        <w:t xml:space="preserve"> ………….nr……., …-………….., o kapitale zakładowym w wysokości…………….., opłaconym w całości, NIP …………………..,</w:t>
      </w:r>
      <w:r w:rsidR="00241889">
        <w:t xml:space="preserve"> </w:t>
      </w:r>
      <w:r w:rsidR="003B2D5A">
        <w:t>wpisan</w:t>
      </w:r>
      <w:r>
        <w:t>ą</w:t>
      </w:r>
      <w:r w:rsidR="003B2D5A">
        <w:t xml:space="preserve"> do rejestru przedsiębiorców Krajowego Rejestru Sądowego prowadzonego przez Sąd Rejonowy </w:t>
      </w:r>
      <w:r>
        <w:t>w …………………..</w:t>
      </w:r>
      <w:r w:rsidR="003B2D5A">
        <w:t xml:space="preserve">, </w:t>
      </w:r>
      <w:r>
        <w:t>…………</w:t>
      </w:r>
      <w:r w:rsidR="003B2D5A">
        <w:t xml:space="preserve"> Wydział Gospodarczy Krajowego Rejestru Sądowego pod numerem KRS</w:t>
      </w:r>
      <w:r w:rsidR="00357ACA">
        <w:t>………..</w:t>
      </w:r>
      <w:r w:rsidR="003B2D5A">
        <w:t>,</w:t>
      </w:r>
      <w:r w:rsidRPr="00D913F7">
        <w:t xml:space="preserve"> </w:t>
      </w:r>
      <w:r w:rsidR="003B2D5A">
        <w:t xml:space="preserve"> reprezentowan</w:t>
      </w:r>
      <w:r w:rsidR="00EE52F4">
        <w:t>ą</w:t>
      </w:r>
      <w:r w:rsidR="003B2D5A">
        <w:t xml:space="preserve"> przez:</w:t>
      </w:r>
    </w:p>
    <w:p w14:paraId="79474BD7" w14:textId="77777777" w:rsidR="003B2D5A" w:rsidRDefault="003B2D5A" w:rsidP="00EC299D">
      <w:pPr>
        <w:jc w:val="both"/>
      </w:pPr>
      <w:r>
        <w:t xml:space="preserve"> </w:t>
      </w:r>
    </w:p>
    <w:p w14:paraId="3F356566" w14:textId="77777777" w:rsidR="00EE52F4" w:rsidRDefault="00EE52F4" w:rsidP="00EC299D">
      <w:pPr>
        <w:ind w:left="702"/>
        <w:jc w:val="both"/>
      </w:pPr>
      <w:r>
        <w:t xml:space="preserve">……………………….. </w:t>
      </w:r>
      <w:r w:rsidR="003B2D5A">
        <w:t xml:space="preserve">- </w:t>
      </w:r>
      <w:r>
        <w:t>…………………………….</w:t>
      </w:r>
    </w:p>
    <w:p w14:paraId="7E7FE247" w14:textId="77777777" w:rsidR="00EE52F4" w:rsidRDefault="00EE52F4" w:rsidP="00EC299D">
      <w:pPr>
        <w:ind w:left="702"/>
        <w:jc w:val="both"/>
      </w:pPr>
    </w:p>
    <w:p w14:paraId="0B18B109" w14:textId="77777777" w:rsidR="003B2D5A" w:rsidRDefault="00EE52F4" w:rsidP="00EC299D">
      <w:pPr>
        <w:ind w:left="702"/>
        <w:jc w:val="both"/>
      </w:pPr>
      <w:r>
        <w:t>………………………. - …………………………….</w:t>
      </w:r>
      <w:r w:rsidR="003B2D5A">
        <w:tab/>
      </w:r>
    </w:p>
    <w:p w14:paraId="4D4C67D5" w14:textId="77777777" w:rsidR="003B2D5A" w:rsidRDefault="003B2D5A" w:rsidP="00EC299D">
      <w:pPr>
        <w:spacing w:before="120"/>
        <w:jc w:val="both"/>
      </w:pPr>
      <w:r>
        <w:t xml:space="preserve">zwaną dalej </w:t>
      </w:r>
      <w:r w:rsidR="00EE52F4">
        <w:t>„</w:t>
      </w:r>
      <w:r w:rsidR="00241889">
        <w:t>OSD</w:t>
      </w:r>
      <w:r w:rsidR="00EE52F4">
        <w:t>”</w:t>
      </w:r>
      <w:r w:rsidR="00EB45C9">
        <w:t xml:space="preserve">,  </w:t>
      </w:r>
    </w:p>
    <w:p w14:paraId="07382DC0" w14:textId="77777777" w:rsidR="003B2D5A" w:rsidRDefault="003B2D5A" w:rsidP="00EC299D">
      <w:pPr>
        <w:spacing w:before="120"/>
        <w:ind w:left="720" w:hanging="720"/>
        <w:jc w:val="both"/>
      </w:pPr>
    </w:p>
    <w:p w14:paraId="113FCA49" w14:textId="77777777" w:rsidR="003B2D5A" w:rsidRPr="00FC4582" w:rsidRDefault="00241889" w:rsidP="00EC299D">
      <w:pPr>
        <w:spacing w:before="120"/>
        <w:jc w:val="both"/>
      </w:pPr>
      <w:r>
        <w:t xml:space="preserve">Zarządca Rozliczeń S.A. </w:t>
      </w:r>
      <w:r w:rsidR="003B2D5A">
        <w:t xml:space="preserve">i </w:t>
      </w:r>
      <w:r w:rsidR="00A310C5">
        <w:t>OSD</w:t>
      </w:r>
      <w:r w:rsidR="003B2D5A">
        <w:t xml:space="preserve"> są również w Porozumieniu zwani </w:t>
      </w:r>
      <w:r w:rsidR="003B2D5A" w:rsidRPr="00FC4582">
        <w:t>„Stroną”, a łącznie „Stronami”.</w:t>
      </w:r>
    </w:p>
    <w:p w14:paraId="57401A73" w14:textId="77777777" w:rsidR="003B2D5A" w:rsidRDefault="003B2D5A" w:rsidP="003B2D5A">
      <w:pPr>
        <w:spacing w:before="120" w:line="360" w:lineRule="auto"/>
        <w:jc w:val="both"/>
      </w:pPr>
    </w:p>
    <w:p w14:paraId="51439600" w14:textId="77777777" w:rsidR="003B2D5A" w:rsidRDefault="003B2D5A" w:rsidP="003B2D5A">
      <w:pPr>
        <w:spacing w:before="120"/>
        <w:jc w:val="both"/>
      </w:pPr>
      <w:r>
        <w:t>Zważywszy, że:</w:t>
      </w:r>
    </w:p>
    <w:p w14:paraId="28DE713E" w14:textId="77777777" w:rsidR="003B2D5A" w:rsidRPr="00834881" w:rsidRDefault="00A36FFD" w:rsidP="00347A42">
      <w:pPr>
        <w:pStyle w:val="Kolorowalistaakcent11"/>
        <w:numPr>
          <w:ilvl w:val="0"/>
          <w:numId w:val="8"/>
        </w:numPr>
        <w:spacing w:before="120"/>
        <w:jc w:val="both"/>
      </w:pPr>
      <w:r w:rsidRPr="00834881">
        <w:t>Zarządca Rozliczeń S.A. pełni funkcję operatora rozliczeń energii odnawialnej w rozumieniu przepisów</w:t>
      </w:r>
      <w:r w:rsidR="000A4EAE" w:rsidRPr="00834881">
        <w:rPr>
          <w:iCs/>
          <w:color w:val="000000"/>
        </w:rPr>
        <w:t xml:space="preserve"> </w:t>
      </w:r>
      <w:r w:rsidR="0007387F" w:rsidRPr="00834881">
        <w:rPr>
          <w:color w:val="000000"/>
        </w:rPr>
        <w:t>u</w:t>
      </w:r>
      <w:r w:rsidR="000A4EAE" w:rsidRPr="00834881">
        <w:rPr>
          <w:color w:val="000000"/>
        </w:rPr>
        <w:t>staw</w:t>
      </w:r>
      <w:r w:rsidRPr="00834881">
        <w:rPr>
          <w:color w:val="000000"/>
        </w:rPr>
        <w:t>y</w:t>
      </w:r>
      <w:r w:rsidRPr="005E6C1C">
        <w:t xml:space="preserve"> z dnia 20 lutego 2015 r. o odnawialnych źródłach energii (Dz.U. z 2015 r., poz. 478, ze zm.), zwanej dalej „Ustawą”</w:t>
      </w:r>
      <w:r w:rsidR="00347A42" w:rsidRPr="00834881">
        <w:t>,</w:t>
      </w:r>
    </w:p>
    <w:p w14:paraId="78AB18EF" w14:textId="77777777" w:rsidR="00A36FFD" w:rsidRDefault="00A36FFD" w:rsidP="00A36FFD">
      <w:pPr>
        <w:pStyle w:val="Kolorowalistaakcent11"/>
        <w:numPr>
          <w:ilvl w:val="0"/>
          <w:numId w:val="8"/>
        </w:numPr>
        <w:spacing w:before="120"/>
        <w:jc w:val="both"/>
      </w:pPr>
      <w:r>
        <w:t>zgodnie z art. 92 ust. 11 Ustawy, Zarządca Rozliczeń S.A. uzyskał prawo dostępu do danych</w:t>
      </w:r>
      <w:r w:rsidRPr="00A36FFD">
        <w:t xml:space="preserve"> </w:t>
      </w:r>
      <w:r>
        <w:t>dotyczących i</w:t>
      </w:r>
      <w:r w:rsidRPr="00EF4242">
        <w:t>loś</w:t>
      </w:r>
      <w:r>
        <w:t>ci</w:t>
      </w:r>
      <w:r w:rsidRPr="00EF4242">
        <w:t xml:space="preserve"> energii elektrycznej wytworzonej z odnawialnych źródeł energii w instalacji odnawialnego źródła energii </w:t>
      </w:r>
      <w:r>
        <w:t xml:space="preserve">i </w:t>
      </w:r>
      <w:r w:rsidRPr="00EF4242">
        <w:t>wprowadzonej do sieci</w:t>
      </w:r>
      <w:r>
        <w:t xml:space="preserve"> elektroenergetycznej, </w:t>
      </w:r>
      <w:r w:rsidR="006529F9">
        <w:t>niezbędnych do</w:t>
      </w:r>
      <w:r w:rsidR="006529F9" w:rsidRPr="006529F9">
        <w:t xml:space="preserve"> </w:t>
      </w:r>
      <w:r w:rsidR="006529F9" w:rsidRPr="00E212ED">
        <w:t xml:space="preserve">rozliczeń </w:t>
      </w:r>
      <w:r w:rsidR="006529F9">
        <w:t>tzw. ujemnych sald w rozumieniu przepisów Ustawy,</w:t>
      </w:r>
    </w:p>
    <w:p w14:paraId="56E8789E" w14:textId="77777777" w:rsidR="00347A42" w:rsidRDefault="006529F9" w:rsidP="00347A42">
      <w:pPr>
        <w:pStyle w:val="Kolorowalistaakcent11"/>
        <w:numPr>
          <w:ilvl w:val="0"/>
          <w:numId w:val="8"/>
        </w:numPr>
        <w:spacing w:before="120"/>
        <w:jc w:val="both"/>
      </w:pPr>
      <w:r>
        <w:t xml:space="preserve">OSD jest operatorem </w:t>
      </w:r>
      <w:r w:rsidR="00834881">
        <w:t>systemu</w:t>
      </w:r>
      <w:r>
        <w:t xml:space="preserve"> dystrybucyjne</w:t>
      </w:r>
      <w:r w:rsidR="00834881">
        <w:t>go elektroenergetycznego</w:t>
      </w:r>
      <w:r w:rsidR="0027210C">
        <w:t>,</w:t>
      </w:r>
      <w:r>
        <w:t xml:space="preserve"> </w:t>
      </w:r>
      <w:r w:rsidR="0027210C">
        <w:t>do które</w:t>
      </w:r>
      <w:r w:rsidR="00834881">
        <w:t>go sieci</w:t>
      </w:r>
      <w:r w:rsidR="0027210C">
        <w:t xml:space="preserve"> przyłączeni są</w:t>
      </w:r>
      <w:r>
        <w:t xml:space="preserve"> wytwórc</w:t>
      </w:r>
      <w:r w:rsidR="0027210C">
        <w:t>y</w:t>
      </w:r>
      <w:r>
        <w:t xml:space="preserve"> energii elektrycznej</w:t>
      </w:r>
      <w:r w:rsidR="00834881">
        <w:t xml:space="preserve"> </w:t>
      </w:r>
      <w:r w:rsidR="00D13D57" w:rsidRPr="00EF4242">
        <w:t xml:space="preserve">w instalacji odnawialnego źródła energii </w:t>
      </w:r>
      <w:r w:rsidR="00834881">
        <w:t>o łącznej mocy zainstalowanej elekt</w:t>
      </w:r>
      <w:r w:rsidR="00B265D6">
        <w:t>r</w:t>
      </w:r>
      <w:r w:rsidR="00834881">
        <w:t>ycznej nie mniejszej niż 500 kW</w:t>
      </w:r>
      <w:r>
        <w:t>,</w:t>
      </w:r>
      <w:r w:rsidR="000F43CD">
        <w:t xml:space="preserve"> </w:t>
      </w:r>
      <w:r w:rsidR="000F43CD" w:rsidRPr="00E212ED">
        <w:t xml:space="preserve">których oferty wygrały aukcję na sprzedaż energii </w:t>
      </w:r>
      <w:r w:rsidR="000F43CD">
        <w:t>elektrycznej</w:t>
      </w:r>
      <w:r w:rsidR="000F43CD" w:rsidRPr="00E212ED">
        <w:t xml:space="preserve"> z odnawialnych źródeł energii, organizowaną przez Prezesa U</w:t>
      </w:r>
      <w:r w:rsidR="000F43CD">
        <w:t xml:space="preserve">rzędu </w:t>
      </w:r>
      <w:r w:rsidR="000F43CD" w:rsidRPr="00E212ED">
        <w:t>R</w:t>
      </w:r>
      <w:r w:rsidR="000F43CD">
        <w:t xml:space="preserve">egulacji </w:t>
      </w:r>
      <w:r w:rsidR="000F43CD" w:rsidRPr="00E212ED">
        <w:t>E</w:t>
      </w:r>
      <w:r w:rsidR="000F43CD">
        <w:t>nergetyki</w:t>
      </w:r>
      <w:r w:rsidR="00D90EA2">
        <w:t xml:space="preserve"> (dalej określanego jako ”Prezes URE”)</w:t>
      </w:r>
      <w:r w:rsidR="00834881">
        <w:t>,</w:t>
      </w:r>
    </w:p>
    <w:p w14:paraId="2F681F8A" w14:textId="77777777" w:rsidR="003B2D5A" w:rsidRDefault="003B2D5A" w:rsidP="003B2D5A">
      <w:pPr>
        <w:pStyle w:val="Tekstpodstawowywcity"/>
        <w:spacing w:before="120" w:after="0"/>
      </w:pPr>
      <w:r>
        <w:lastRenderedPageBreak/>
        <w:t>Strony uzgodniły, co następuje:</w:t>
      </w:r>
    </w:p>
    <w:p w14:paraId="488EB851" w14:textId="77777777" w:rsidR="003B2D5A" w:rsidRDefault="003B2D5A" w:rsidP="003B2D5A">
      <w:pPr>
        <w:spacing w:before="120"/>
        <w:jc w:val="center"/>
        <w:rPr>
          <w:b/>
        </w:rPr>
      </w:pPr>
      <w:r>
        <w:rPr>
          <w:b/>
        </w:rPr>
        <w:t>§ 1</w:t>
      </w:r>
    </w:p>
    <w:p w14:paraId="2641C455" w14:textId="77777777" w:rsidR="003B2D5A" w:rsidRDefault="003B2D5A" w:rsidP="003B2D5A">
      <w:pPr>
        <w:spacing w:before="120"/>
        <w:jc w:val="center"/>
        <w:rPr>
          <w:b/>
        </w:rPr>
      </w:pPr>
      <w:r>
        <w:rPr>
          <w:b/>
        </w:rPr>
        <w:t>P</w:t>
      </w:r>
      <w:r w:rsidR="007E0B1A">
        <w:rPr>
          <w:b/>
        </w:rPr>
        <w:t>rzedmiot Porozumienia</w:t>
      </w:r>
    </w:p>
    <w:p w14:paraId="4415C09A" w14:textId="77777777" w:rsidR="00535B14" w:rsidRDefault="006438CB" w:rsidP="00C038E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</w:pPr>
      <w:r>
        <w:t xml:space="preserve">Przedmiotem Porozumienia są zasady </w:t>
      </w:r>
      <w:r w:rsidR="001108B3">
        <w:t xml:space="preserve">udostępniania </w:t>
      </w:r>
      <w:r w:rsidR="00241889">
        <w:t>Zarządc</w:t>
      </w:r>
      <w:r w:rsidR="00535B14">
        <w:t>y</w:t>
      </w:r>
      <w:r w:rsidR="00241889">
        <w:t xml:space="preserve"> Rozliczeń S.A.</w:t>
      </w:r>
      <w:r>
        <w:t xml:space="preserve"> </w:t>
      </w:r>
      <w:r w:rsidR="0067161C">
        <w:t xml:space="preserve">posiadanych </w:t>
      </w:r>
      <w:r>
        <w:t xml:space="preserve">przez </w:t>
      </w:r>
      <w:r w:rsidR="00A20DB3">
        <w:t>OSD</w:t>
      </w:r>
      <w:r w:rsidR="00535B14">
        <w:t xml:space="preserve"> informacji o i</w:t>
      </w:r>
      <w:r w:rsidR="00535B14" w:rsidRPr="00EF4242">
        <w:t>loś</w:t>
      </w:r>
      <w:r w:rsidR="00535B14">
        <w:t>ci</w:t>
      </w:r>
      <w:r w:rsidR="00535B14" w:rsidRPr="00EF4242">
        <w:t xml:space="preserve"> energii elektrycznej </w:t>
      </w:r>
      <w:r w:rsidR="001108B3">
        <w:t xml:space="preserve">wprowadzonej do sieci OSD </w:t>
      </w:r>
      <w:r w:rsidR="00535B14" w:rsidRPr="00EF4242">
        <w:t>z odnawialnych źródeł energii w instalacj</w:t>
      </w:r>
      <w:r w:rsidR="00535B14">
        <w:t>ach</w:t>
      </w:r>
      <w:r w:rsidR="00535B14" w:rsidRPr="00EF4242">
        <w:t xml:space="preserve"> odnawialn</w:t>
      </w:r>
      <w:r w:rsidR="00535B14">
        <w:t>ych</w:t>
      </w:r>
      <w:r w:rsidR="00535B14" w:rsidRPr="00EF4242">
        <w:t xml:space="preserve"> źród</w:t>
      </w:r>
      <w:r w:rsidR="00535B14">
        <w:t>e</w:t>
      </w:r>
      <w:r w:rsidR="00535B14" w:rsidRPr="00EF4242">
        <w:t>ł energii</w:t>
      </w:r>
      <w:r w:rsidR="00535B14">
        <w:t>.</w:t>
      </w:r>
    </w:p>
    <w:p w14:paraId="118AB7FA" w14:textId="77777777" w:rsidR="00DE39B9" w:rsidRDefault="00DE39B9" w:rsidP="001108B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</w:pPr>
      <w:r>
        <w:t>Porozumienie dotyczy</w:t>
      </w:r>
      <w:r w:rsidR="00535B14" w:rsidRPr="00535B14">
        <w:t xml:space="preserve"> </w:t>
      </w:r>
      <w:r w:rsidR="00706A8E">
        <w:t xml:space="preserve">danych pomiarowych </w:t>
      </w:r>
      <w:r w:rsidR="00535B14">
        <w:t>wytwórców</w:t>
      </w:r>
      <w:r w:rsidR="00535B14" w:rsidRPr="00EF4242">
        <w:t xml:space="preserve"> energii elektrycznej z odnawialnych źródeł energii w instalacji odnawialnego źródła energii</w:t>
      </w:r>
      <w:r w:rsidR="001108B3" w:rsidRPr="001108B3">
        <w:t xml:space="preserve"> </w:t>
      </w:r>
      <w:r w:rsidR="001108B3" w:rsidRPr="00EF4242">
        <w:t>o łącznej mocy zainstalowanej elektrycznej nie mniejszej niż 500 kW</w:t>
      </w:r>
      <w:r w:rsidR="00535B14">
        <w:t xml:space="preserve">, </w:t>
      </w:r>
      <w:r w:rsidR="001108B3">
        <w:t xml:space="preserve">przyłączonych do sieci dystrybucyjnej OSD, </w:t>
      </w:r>
      <w:r w:rsidR="00535B14">
        <w:t>których oferty wygrały aukcję na sprzedaż energii elektrycznej z odnawialnych źródeł energii, organizowaną przez Prezesa URE</w:t>
      </w:r>
      <w:r w:rsidR="001108B3">
        <w:t>.</w:t>
      </w:r>
    </w:p>
    <w:p w14:paraId="11C0B81B" w14:textId="42B34B8D" w:rsidR="00DE39B9" w:rsidRDefault="00DE39B9" w:rsidP="00C038E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</w:pPr>
      <w:r>
        <w:t xml:space="preserve">Wykaz </w:t>
      </w:r>
      <w:r w:rsidR="009357A4">
        <w:t>podmiotów</w:t>
      </w:r>
      <w:r>
        <w:t xml:space="preserve"> i instalacji, o których mowa w ust. 2</w:t>
      </w:r>
      <w:r w:rsidR="003551F8">
        <w:t>,</w:t>
      </w:r>
      <w:r w:rsidR="00063FB6">
        <w:t xml:space="preserve"> zwany dalej „Wykazem”,</w:t>
      </w:r>
      <w:r w:rsidR="003551F8">
        <w:t xml:space="preserve"> </w:t>
      </w:r>
      <w:r w:rsidR="00062328">
        <w:t xml:space="preserve">sporządza </w:t>
      </w:r>
      <w:r w:rsidR="00A75B96">
        <w:t xml:space="preserve">i aktualizuje na bieżąco </w:t>
      </w:r>
      <w:r w:rsidR="00241889">
        <w:t xml:space="preserve">Zarządca Rozliczeń S.A. </w:t>
      </w:r>
      <w:r w:rsidR="00062328">
        <w:t xml:space="preserve">na podstawie informacji otrzymanych od Prezesa URE </w:t>
      </w:r>
      <w:r w:rsidR="003551F8">
        <w:t xml:space="preserve">po rozstrzygnięciu </w:t>
      </w:r>
      <w:r w:rsidR="00062328">
        <w:t xml:space="preserve">przez niego </w:t>
      </w:r>
      <w:r w:rsidR="003551F8">
        <w:t>aukcji</w:t>
      </w:r>
      <w:r w:rsidR="00063FB6">
        <w:t xml:space="preserve">. Zarządca Rozliczeń </w:t>
      </w:r>
      <w:r w:rsidR="00062328">
        <w:t>S.A.</w:t>
      </w:r>
      <w:r w:rsidR="00706A8E">
        <w:t xml:space="preserve"> przekazuje do OSD</w:t>
      </w:r>
      <w:r w:rsidR="00324002">
        <w:t xml:space="preserve"> </w:t>
      </w:r>
      <w:r w:rsidR="00B265D6" w:rsidRPr="00B265D6">
        <w:t xml:space="preserve">w formacie </w:t>
      </w:r>
      <w:r w:rsidR="00C317D6">
        <w:t>xls lub</w:t>
      </w:r>
      <w:r w:rsidR="00CF5F70">
        <w:t xml:space="preserve"> </w:t>
      </w:r>
      <w:proofErr w:type="spellStart"/>
      <w:r w:rsidR="00CF5F70">
        <w:t>xlsx</w:t>
      </w:r>
      <w:proofErr w:type="spellEnd"/>
      <w:r w:rsidR="00CF5F70">
        <w:t xml:space="preserve"> lub innym formacie właściwym dla arkusza kalkulacyjnego</w:t>
      </w:r>
      <w:r w:rsidR="00B265D6" w:rsidRPr="00B265D6">
        <w:t xml:space="preserve"> </w:t>
      </w:r>
      <w:r w:rsidR="005B2B8A">
        <w:t xml:space="preserve">Excel </w:t>
      </w:r>
      <w:r w:rsidR="00324002">
        <w:t>na adresy poczty elektronicznej wskazane w Załączniku nr 2,</w:t>
      </w:r>
      <w:r w:rsidR="00706A8E">
        <w:t xml:space="preserve"> </w:t>
      </w:r>
      <w:r w:rsidR="00063FB6">
        <w:t>Wykaz według wzoru</w:t>
      </w:r>
      <w:r w:rsidR="00FB3167">
        <w:t xml:space="preserve">, stanowiącego </w:t>
      </w:r>
      <w:r w:rsidR="00C36731">
        <w:t>Z</w:t>
      </w:r>
      <w:r w:rsidR="00FB3167">
        <w:t>ałącznik nr 1 do Porozumienia.</w:t>
      </w:r>
      <w:r w:rsidR="003551F8">
        <w:t xml:space="preserve"> </w:t>
      </w:r>
    </w:p>
    <w:p w14:paraId="2963A5D2" w14:textId="77777777" w:rsidR="00FB3167" w:rsidRDefault="00FB3167" w:rsidP="00C038E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</w:pPr>
      <w:r>
        <w:t>Zarządca Rozliczeń przesyła Wykaz</w:t>
      </w:r>
      <w:r w:rsidR="00062328">
        <w:t xml:space="preserve"> do</w:t>
      </w:r>
      <w:r>
        <w:t xml:space="preserve"> OSD niezwłocznie po otrzymaniu od Prezesa URE</w:t>
      </w:r>
      <w:r w:rsidR="009A2F30">
        <w:t xml:space="preserve"> informacji o rozstrzygnięciu aukcji.</w:t>
      </w:r>
      <w:r w:rsidR="00706A8E">
        <w:t xml:space="preserve"> </w:t>
      </w:r>
      <w:r w:rsidR="0077391D">
        <w:t xml:space="preserve">W celu ułatwienia identyfikacji </w:t>
      </w:r>
      <w:r w:rsidR="0067161C" w:rsidRPr="00EF4242">
        <w:t>instalacji odnawialnego źródła energii</w:t>
      </w:r>
      <w:r w:rsidR="0067161C" w:rsidRPr="001108B3">
        <w:t xml:space="preserve"> </w:t>
      </w:r>
      <w:r w:rsidR="0067161C" w:rsidRPr="00EF4242">
        <w:t>o łącznej mocy zainstalowanej elektrycznej nie mniejszej niż 500 kW</w:t>
      </w:r>
      <w:r w:rsidR="0067161C">
        <w:t xml:space="preserve">, </w:t>
      </w:r>
      <w:r w:rsidR="00706A8E">
        <w:t>Zarządca Rozliczeń</w:t>
      </w:r>
      <w:r w:rsidR="00062328">
        <w:t xml:space="preserve"> S.A.</w:t>
      </w:r>
      <w:r w:rsidR="00706A8E">
        <w:t xml:space="preserve"> </w:t>
      </w:r>
      <w:r w:rsidR="0067161C">
        <w:t xml:space="preserve">posługuje się kodem </w:t>
      </w:r>
      <w:r w:rsidR="00190F84">
        <w:t xml:space="preserve">Punktu Poboru Energii (dalej </w:t>
      </w:r>
      <w:r w:rsidR="00B265D6" w:rsidRPr="00B265D6">
        <w:t xml:space="preserve">jako </w:t>
      </w:r>
      <w:r w:rsidR="00190F84">
        <w:t>„</w:t>
      </w:r>
      <w:r w:rsidR="0067161C">
        <w:t>PPE</w:t>
      </w:r>
      <w:r w:rsidR="00190F84">
        <w:t>”)</w:t>
      </w:r>
      <w:r w:rsidR="0067161C">
        <w:t xml:space="preserve"> nadanym przez OSD</w:t>
      </w:r>
      <w:r w:rsidR="00706A8E">
        <w:t>.</w:t>
      </w:r>
    </w:p>
    <w:p w14:paraId="6EDD441A" w14:textId="77777777" w:rsidR="007C4D36" w:rsidRDefault="007C4D36" w:rsidP="00C038E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</w:pPr>
      <w:r>
        <w:t xml:space="preserve">Zmiana </w:t>
      </w:r>
      <w:r w:rsidR="00FB3167">
        <w:t>W</w:t>
      </w:r>
      <w:r>
        <w:t>ykazu</w:t>
      </w:r>
      <w:r w:rsidR="003551F8">
        <w:t xml:space="preserve"> </w:t>
      </w:r>
      <w:r w:rsidR="009357A4">
        <w:t xml:space="preserve">nie stanowi zmiany Porozumienia i </w:t>
      </w:r>
      <w:r w:rsidR="007037AD">
        <w:t xml:space="preserve">dokonuje się z dniem </w:t>
      </w:r>
      <w:r w:rsidR="00402EC5">
        <w:t xml:space="preserve">przekazania </w:t>
      </w:r>
      <w:r w:rsidR="00B265D6" w:rsidRPr="00B265D6">
        <w:t xml:space="preserve">przez Zarządcę Rozliczeń S.A. </w:t>
      </w:r>
      <w:r w:rsidR="00402EC5">
        <w:t>do</w:t>
      </w:r>
      <w:r w:rsidR="009357A4">
        <w:t xml:space="preserve"> </w:t>
      </w:r>
      <w:r w:rsidR="00A20DB3">
        <w:t>OSD</w:t>
      </w:r>
      <w:r w:rsidR="00B265D6" w:rsidRPr="00B265D6">
        <w:t xml:space="preserve"> </w:t>
      </w:r>
      <w:r w:rsidR="00B265D6">
        <w:t>aktualnego Wykazu</w:t>
      </w:r>
      <w:r w:rsidR="009A2F30">
        <w:t>,</w:t>
      </w:r>
      <w:r w:rsidR="009357A4">
        <w:t xml:space="preserve"> w </w:t>
      </w:r>
      <w:r w:rsidR="009A2F30">
        <w:t>trybie</w:t>
      </w:r>
      <w:r w:rsidR="009357A4">
        <w:t xml:space="preserve"> określony</w:t>
      </w:r>
      <w:r w:rsidR="009A2F30">
        <w:t>m</w:t>
      </w:r>
      <w:r w:rsidR="009357A4">
        <w:t xml:space="preserve"> w </w:t>
      </w:r>
      <w:r w:rsidR="00402EC5">
        <w:t>ust.</w:t>
      </w:r>
      <w:r w:rsidR="009357A4" w:rsidRPr="009357A4">
        <w:t xml:space="preserve"> </w:t>
      </w:r>
      <w:r w:rsidR="00FB3167">
        <w:t>3</w:t>
      </w:r>
      <w:r w:rsidR="009357A4" w:rsidRPr="009357A4">
        <w:t>.</w:t>
      </w:r>
      <w:r w:rsidR="009357A4">
        <w:t xml:space="preserve"> </w:t>
      </w:r>
    </w:p>
    <w:p w14:paraId="398A78FB" w14:textId="77777777" w:rsidR="006B1F25" w:rsidRDefault="006B1F25" w:rsidP="00C038E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before="120" w:after="0"/>
        <w:ind w:left="360"/>
      </w:pPr>
      <w:r>
        <w:t xml:space="preserve">Zarządca Rozliczeń S.A. oświadcza, że posiada </w:t>
      </w:r>
      <w:r w:rsidR="000A6CD0">
        <w:t>upoważnienia</w:t>
      </w:r>
      <w:r>
        <w:t xml:space="preserve"> od wszystkich podmiotów objętych Wykazem, na udostepnienie </w:t>
      </w:r>
      <w:r w:rsidR="00B265D6" w:rsidRPr="00B265D6">
        <w:t xml:space="preserve">ich danych pomiarowych </w:t>
      </w:r>
      <w:r>
        <w:t xml:space="preserve">przez OSD do Zarządcy Rozliczeń S.A. Na każde żądanie </w:t>
      </w:r>
      <w:r w:rsidR="00B265D6">
        <w:t xml:space="preserve">OSD, </w:t>
      </w:r>
      <w:r>
        <w:t xml:space="preserve">Zarządca Rozliczeń S.A. będzie zobowiązany niezwłocznie przedstawić oryginał lub poświadczony </w:t>
      </w:r>
      <w:r w:rsidR="00A07544">
        <w:t>z</w:t>
      </w:r>
      <w:r>
        <w:t>a zgodność z oryginałem dokument upoważnienia pod rygorem zaprzestania udostępniania przez OSD danych pomiarowych.</w:t>
      </w:r>
    </w:p>
    <w:p w14:paraId="104FFF71" w14:textId="77777777" w:rsidR="007C4D36" w:rsidRDefault="007C4D36" w:rsidP="003B2D5A">
      <w:pPr>
        <w:spacing w:before="120"/>
        <w:ind w:left="720" w:hanging="720"/>
        <w:jc w:val="center"/>
        <w:rPr>
          <w:b/>
        </w:rPr>
      </w:pPr>
    </w:p>
    <w:p w14:paraId="680745C0" w14:textId="77777777" w:rsidR="003B2D5A" w:rsidRDefault="003B2D5A" w:rsidP="003B2D5A">
      <w:pPr>
        <w:spacing w:before="120"/>
        <w:ind w:left="720" w:hanging="720"/>
        <w:jc w:val="center"/>
        <w:rPr>
          <w:b/>
        </w:rPr>
      </w:pPr>
      <w:r>
        <w:rPr>
          <w:b/>
        </w:rPr>
        <w:t>§ 2</w:t>
      </w:r>
    </w:p>
    <w:p w14:paraId="7A0BBD53" w14:textId="77777777" w:rsidR="003B2D5A" w:rsidRDefault="003B2D5A" w:rsidP="005E6C1C">
      <w:pPr>
        <w:spacing w:before="120"/>
        <w:jc w:val="center"/>
        <w:rPr>
          <w:b/>
        </w:rPr>
      </w:pPr>
      <w:r>
        <w:rPr>
          <w:b/>
        </w:rPr>
        <w:t>Przekazywanie danych</w:t>
      </w:r>
    </w:p>
    <w:p w14:paraId="2F6B0C8B" w14:textId="0C95B817" w:rsidR="003B2D5A" w:rsidRPr="00062328" w:rsidRDefault="00A20DB3" w:rsidP="003B2D5A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before="120" w:after="0"/>
        <w:ind w:left="360"/>
      </w:pPr>
      <w:r>
        <w:t xml:space="preserve">OSD </w:t>
      </w:r>
      <w:r w:rsidR="008F4D32">
        <w:t xml:space="preserve">będzie </w:t>
      </w:r>
      <w:r w:rsidR="00B207CE">
        <w:t>udostępniał</w:t>
      </w:r>
      <w:r w:rsidR="008F4D32">
        <w:t xml:space="preserve"> </w:t>
      </w:r>
      <w:r w:rsidR="00241889">
        <w:t>Zarządc</w:t>
      </w:r>
      <w:r>
        <w:t>y</w:t>
      </w:r>
      <w:r w:rsidR="00241889">
        <w:t xml:space="preserve"> Rozliczeń S.A.</w:t>
      </w:r>
      <w:r w:rsidR="003B2D5A">
        <w:t xml:space="preserve"> </w:t>
      </w:r>
      <w:r w:rsidR="00B30F81">
        <w:t>dane</w:t>
      </w:r>
      <w:r w:rsidR="00B265D6">
        <w:t>,</w:t>
      </w:r>
      <w:r w:rsidR="00B30F81">
        <w:t xml:space="preserve"> o których mowa w </w:t>
      </w:r>
      <w:r w:rsidR="00B30F81" w:rsidRPr="00432B9D">
        <w:t xml:space="preserve">§ 1 </w:t>
      </w:r>
      <w:r w:rsidR="00B30F81">
        <w:t xml:space="preserve">ust. 2, </w:t>
      </w:r>
      <w:r w:rsidR="006F0FF1">
        <w:t>odrębnie dla każde</w:t>
      </w:r>
      <w:r w:rsidR="00B207CE">
        <w:t xml:space="preserve">go </w:t>
      </w:r>
      <w:r w:rsidR="00190F84">
        <w:t xml:space="preserve">PPE </w:t>
      </w:r>
      <w:r w:rsidR="00B207CE">
        <w:t>danej</w:t>
      </w:r>
      <w:r w:rsidR="006F0FF1">
        <w:t xml:space="preserve"> instalacji, </w:t>
      </w:r>
      <w:r w:rsidR="003B2D5A">
        <w:t xml:space="preserve">w </w:t>
      </w:r>
      <w:r w:rsidR="00560F98">
        <w:t xml:space="preserve">oparciu o rzeczywiste wskazania urządzeń pomiarowo-rozliczeniowych, </w:t>
      </w:r>
      <w:r w:rsidR="0082310B">
        <w:t xml:space="preserve">o ile to możliwe </w:t>
      </w:r>
      <w:r w:rsidR="006F0FF1">
        <w:t xml:space="preserve">w układzie </w:t>
      </w:r>
      <w:r w:rsidR="00B207CE">
        <w:t>godzinow</w:t>
      </w:r>
      <w:r w:rsidR="006F0FF1">
        <w:t>ym</w:t>
      </w:r>
      <w:r w:rsidR="00136225">
        <w:t>. Dane dotyczące miesiąca kalendarzowego będą udostępniane</w:t>
      </w:r>
      <w:r w:rsidR="003B2D5A">
        <w:t xml:space="preserve"> do </w:t>
      </w:r>
      <w:r w:rsidR="00C43053" w:rsidRPr="006D1DC3">
        <w:t>10</w:t>
      </w:r>
      <w:r w:rsidR="00136225">
        <w:t xml:space="preserve"> dnia następnego miesiąca</w:t>
      </w:r>
      <w:r w:rsidR="00560F98" w:rsidRPr="00062328">
        <w:t>.</w:t>
      </w:r>
      <w:r w:rsidR="00EC2B97">
        <w:t xml:space="preserve"> Dane </w:t>
      </w:r>
      <w:r w:rsidR="00165919">
        <w:t xml:space="preserve">dotyczące ilości </w:t>
      </w:r>
      <w:r w:rsidR="000C0A73">
        <w:t xml:space="preserve">energii elektrycznej </w:t>
      </w:r>
      <w:r w:rsidR="00165919">
        <w:t xml:space="preserve"> </w:t>
      </w:r>
      <w:r w:rsidR="00EC2B97">
        <w:t xml:space="preserve">będą </w:t>
      </w:r>
      <w:r w:rsidR="004E1A93" w:rsidRPr="004E1A93">
        <w:rPr>
          <w:bCs w:val="0"/>
        </w:rPr>
        <w:t xml:space="preserve"> </w:t>
      </w:r>
      <w:r w:rsidR="004E1A93" w:rsidRPr="004E1A93">
        <w:t xml:space="preserve">udostępniane </w:t>
      </w:r>
      <w:r w:rsidR="00165919">
        <w:t xml:space="preserve">w </w:t>
      </w:r>
      <w:r w:rsidR="00EC2B97">
        <w:t>kWh.</w:t>
      </w:r>
    </w:p>
    <w:p w14:paraId="38CCFFD9" w14:textId="77777777" w:rsidR="00586E4E" w:rsidRDefault="00586E4E" w:rsidP="005F151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before="120" w:after="0"/>
        <w:ind w:left="360"/>
      </w:pPr>
      <w:r>
        <w:t>W przypadku</w:t>
      </w:r>
      <w:r w:rsidR="00C36731">
        <w:t>,</w:t>
      </w:r>
      <w:r w:rsidRPr="00586E4E">
        <w:t xml:space="preserve"> </w:t>
      </w:r>
      <w:r>
        <w:t xml:space="preserve">gdy </w:t>
      </w:r>
      <w:r w:rsidR="00DF0644">
        <w:t>udostępnione</w:t>
      </w:r>
      <w:r w:rsidR="00C36731">
        <w:t xml:space="preserve"> Zarządcy Rozliczeń S.A. </w:t>
      </w:r>
      <w:r>
        <w:t xml:space="preserve">dane, </w:t>
      </w:r>
      <w:r w:rsidRPr="00C602EB">
        <w:t xml:space="preserve">o których mowa w </w:t>
      </w:r>
      <w:r>
        <w:t xml:space="preserve">ust. </w:t>
      </w:r>
      <w:r w:rsidR="00136225">
        <w:t>1</w:t>
      </w:r>
      <w:r>
        <w:t>, okażą się błędne lub nieaktualne, OSD niezwłocznie</w:t>
      </w:r>
      <w:r w:rsidR="00C36731">
        <w:t xml:space="preserve"> po ujawnieniu</w:t>
      </w:r>
      <w:r>
        <w:t xml:space="preserve"> </w:t>
      </w:r>
      <w:r w:rsidR="00C36731">
        <w:t xml:space="preserve">powyższego </w:t>
      </w:r>
      <w:r w:rsidR="00136225">
        <w:t xml:space="preserve">udostępni </w:t>
      </w:r>
      <w:r>
        <w:t>Zarządcy Rozliczeń S.A. skorygowane dane.</w:t>
      </w:r>
      <w:r w:rsidR="00EC2B97">
        <w:t xml:space="preserve"> OSD nie ponosi odpowiedzialności za skutki działań Zarządcy Rozliczeń S.A. opartych na danych pomiarowych udostępnianych przez OSD</w:t>
      </w:r>
      <w:r w:rsidR="005E6C1C">
        <w:t xml:space="preserve">, chyba że </w:t>
      </w:r>
      <w:r w:rsidR="005F061D">
        <w:t xml:space="preserve">udostępnione </w:t>
      </w:r>
      <w:r w:rsidR="005E6C1C">
        <w:t xml:space="preserve">dane </w:t>
      </w:r>
      <w:r w:rsidR="005F061D">
        <w:t xml:space="preserve">będą błędne lub nieaktualne w wyniku </w:t>
      </w:r>
      <w:r w:rsidR="004E1A93">
        <w:t>umyślnego</w:t>
      </w:r>
      <w:r w:rsidR="005F061D">
        <w:t xml:space="preserve"> </w:t>
      </w:r>
      <w:r w:rsidR="009F42A9">
        <w:t xml:space="preserve">działania </w:t>
      </w:r>
      <w:r w:rsidR="004E1A93" w:rsidRPr="004E1A93">
        <w:t xml:space="preserve">lub rażącego niedbalstwa </w:t>
      </w:r>
      <w:r w:rsidR="005F061D">
        <w:t>OSD</w:t>
      </w:r>
      <w:r w:rsidR="00EC2B97">
        <w:t>.</w:t>
      </w:r>
    </w:p>
    <w:p w14:paraId="2B7FE905" w14:textId="77777777" w:rsidR="006D1DC3" w:rsidRDefault="006D1DC3" w:rsidP="005E6C1C">
      <w:pPr>
        <w:pStyle w:val="Tekstpodstawowy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before="120" w:after="0"/>
        <w:ind w:left="426" w:hanging="426"/>
      </w:pPr>
      <w:r w:rsidRPr="006D1DC3">
        <w:lastRenderedPageBreak/>
        <w:t xml:space="preserve">Dane, o których mowa w ust. </w:t>
      </w:r>
      <w:r w:rsidR="00EC2B97">
        <w:t xml:space="preserve">1 i </w:t>
      </w:r>
      <w:r w:rsidR="008E04E5">
        <w:t>2</w:t>
      </w:r>
      <w:r w:rsidRPr="006D1DC3">
        <w:t>,</w:t>
      </w:r>
      <w:r w:rsidR="00586E4E">
        <w:t xml:space="preserve"> będą </w:t>
      </w:r>
      <w:r w:rsidR="00DF0644">
        <w:t>udostępniane</w:t>
      </w:r>
      <w:r w:rsidR="00586E4E">
        <w:t xml:space="preserve"> </w:t>
      </w:r>
      <w:r w:rsidR="00DF0644">
        <w:t xml:space="preserve">na serwerze </w:t>
      </w:r>
      <w:r w:rsidR="00F97F12">
        <w:t xml:space="preserve">wymiany danych pomiarowych </w:t>
      </w:r>
      <w:r w:rsidR="00DF0644">
        <w:t xml:space="preserve">należącym do OSD </w:t>
      </w:r>
      <w:r w:rsidR="00586E4E">
        <w:t xml:space="preserve">w </w:t>
      </w:r>
      <w:r w:rsidR="00586E4E" w:rsidRPr="000E6057">
        <w:t xml:space="preserve">formacie </w:t>
      </w:r>
      <w:r w:rsidR="00EC5245" w:rsidRPr="000E6057">
        <w:t>………….</w:t>
      </w:r>
      <w:r w:rsidR="00EC2B97" w:rsidRPr="000E6057">
        <w:t xml:space="preserve"> l</w:t>
      </w:r>
      <w:r w:rsidR="00EC2B97" w:rsidRPr="00E317C6">
        <w:t>ub poprzez dedykowany system informatyczny OSD</w:t>
      </w:r>
      <w:r w:rsidR="00586E4E" w:rsidRPr="00E317C6">
        <w:t>.</w:t>
      </w:r>
      <w:r w:rsidR="00DF0644">
        <w:t xml:space="preserve"> OSD niezwłocznie po zawarciu Porozumienia przekaże Zarządcy Rozliczeń S.A. niezbędne dane, umożliwiające Zarządcy Rozliczeń S.A. dostęp do ww. serwera </w:t>
      </w:r>
      <w:r w:rsidR="00EC2B97">
        <w:t>lub systemu</w:t>
      </w:r>
      <w:r w:rsidR="00DF0644">
        <w:t>.</w:t>
      </w:r>
      <w:r w:rsidR="004E1A93" w:rsidRPr="004E1A93">
        <w:rPr>
          <w:bCs w:val="0"/>
        </w:rPr>
        <w:t xml:space="preserve"> </w:t>
      </w:r>
      <w:r w:rsidR="004E1A93" w:rsidRPr="004E1A93">
        <w:t>OSD poinformuje Zarządcę Rozliczeń S.A. o zmianie powyższego formatu lub systemu z co najmniej 30 dniowym wyprzedzeniem.</w:t>
      </w:r>
    </w:p>
    <w:p w14:paraId="651B3FB4" w14:textId="77777777" w:rsidR="009F01DF" w:rsidRPr="006D1DC3" w:rsidRDefault="009F01DF" w:rsidP="004D60A7">
      <w:pPr>
        <w:pStyle w:val="Tekstpodstawowy"/>
        <w:tabs>
          <w:tab w:val="num" w:pos="284"/>
        </w:tabs>
        <w:spacing w:before="120" w:after="0"/>
        <w:ind w:left="426"/>
      </w:pPr>
    </w:p>
    <w:p w14:paraId="6167C2E4" w14:textId="77777777" w:rsidR="003B2D5A" w:rsidRDefault="003B2D5A" w:rsidP="003B2D5A">
      <w:pPr>
        <w:spacing w:before="120"/>
        <w:ind w:left="720" w:hanging="720"/>
        <w:jc w:val="center"/>
        <w:rPr>
          <w:b/>
        </w:rPr>
      </w:pPr>
      <w:r>
        <w:rPr>
          <w:b/>
        </w:rPr>
        <w:t>§ 3</w:t>
      </w:r>
    </w:p>
    <w:p w14:paraId="64AC913F" w14:textId="77777777" w:rsidR="003B2D5A" w:rsidRDefault="00A73EDB" w:rsidP="003B2D5A">
      <w:pPr>
        <w:spacing w:before="120"/>
        <w:ind w:left="720" w:hanging="720"/>
        <w:jc w:val="center"/>
        <w:rPr>
          <w:b/>
        </w:rPr>
      </w:pPr>
      <w:r>
        <w:rPr>
          <w:b/>
        </w:rPr>
        <w:t>Wymagania dokumentowe i zasady wymiany</w:t>
      </w:r>
      <w:r w:rsidR="00643926" w:rsidRPr="00643926">
        <w:rPr>
          <w:b/>
        </w:rPr>
        <w:t xml:space="preserve"> informacji</w:t>
      </w:r>
      <w:r w:rsidR="003B2D5A">
        <w:rPr>
          <w:b/>
        </w:rPr>
        <w:t xml:space="preserve"> </w:t>
      </w:r>
    </w:p>
    <w:p w14:paraId="4B4D17B8" w14:textId="77777777" w:rsidR="00C43053" w:rsidRDefault="00C43053" w:rsidP="003B2D5A">
      <w:pPr>
        <w:spacing w:before="120"/>
        <w:ind w:left="720" w:hanging="720"/>
        <w:jc w:val="center"/>
        <w:rPr>
          <w:b/>
        </w:rPr>
      </w:pPr>
    </w:p>
    <w:p w14:paraId="6793D505" w14:textId="77777777" w:rsidR="00016C02" w:rsidRDefault="00C43053" w:rsidP="00C43053">
      <w:pPr>
        <w:pStyle w:val="Kolorowalistaakcent11"/>
        <w:numPr>
          <w:ilvl w:val="0"/>
          <w:numId w:val="7"/>
        </w:numPr>
        <w:ind w:left="426" w:hanging="426"/>
        <w:jc w:val="both"/>
      </w:pPr>
      <w:r w:rsidRPr="00C43053">
        <w:t xml:space="preserve">Strony zgodnie ustalają, iż </w:t>
      </w:r>
      <w:r w:rsidR="009D3174">
        <w:t>wszelkie pisma adresowane do Stron będą przesyłane lub składane w oryginałach</w:t>
      </w:r>
      <w:r w:rsidR="00016C02">
        <w:t>.</w:t>
      </w:r>
      <w:r w:rsidR="009D3174">
        <w:t xml:space="preserve"> Na równi z oryginałem traktuje się dokumenty przesyłane w</w:t>
      </w:r>
      <w:r w:rsidRPr="00C43053">
        <w:t xml:space="preserve"> formie elektronicznej z </w:t>
      </w:r>
      <w:r w:rsidR="009D3174">
        <w:t xml:space="preserve">użyciem </w:t>
      </w:r>
      <w:r w:rsidR="00AA420A">
        <w:t>kwalifikowanego podpisu elektronicznego.</w:t>
      </w:r>
    </w:p>
    <w:p w14:paraId="2D5FFF3A" w14:textId="77777777" w:rsidR="00D64851" w:rsidRDefault="00D64851" w:rsidP="005E6C1C">
      <w:pPr>
        <w:jc w:val="both"/>
      </w:pPr>
    </w:p>
    <w:p w14:paraId="56CF28D0" w14:textId="77777777" w:rsidR="00016C02" w:rsidRDefault="00016C02" w:rsidP="00C43053">
      <w:pPr>
        <w:pStyle w:val="Kolorowalistaakcent11"/>
        <w:numPr>
          <w:ilvl w:val="0"/>
          <w:numId w:val="7"/>
        </w:numPr>
        <w:ind w:left="426" w:hanging="426"/>
        <w:jc w:val="both"/>
      </w:pPr>
      <w:r>
        <w:t xml:space="preserve">Dokumenty, o których mowa w ust. 1, powinny być podpisane przez osoby uprawnione do ich podpisania zgodnie </w:t>
      </w:r>
      <w:r w:rsidR="00891478">
        <w:t xml:space="preserve">z </w:t>
      </w:r>
      <w:r>
        <w:t>zasadą reprezentacji Stron lub przez prawidłowo umocowanych</w:t>
      </w:r>
      <w:r w:rsidR="00D64851">
        <w:t xml:space="preserve"> </w:t>
      </w:r>
      <w:r>
        <w:t>pełnomocników</w:t>
      </w:r>
      <w:r w:rsidR="00DF0644">
        <w:t xml:space="preserve"> lub przez osoby </w:t>
      </w:r>
      <w:r w:rsidR="00E422CD">
        <w:t>upoważnione przez Strony do r</w:t>
      </w:r>
      <w:r w:rsidR="00DF0644">
        <w:t>ealizacji Porozumienia</w:t>
      </w:r>
      <w:r w:rsidR="00E422CD">
        <w:t xml:space="preserve"> wskazane </w:t>
      </w:r>
      <w:r w:rsidR="00DF0644">
        <w:t>w Załączniku nr 2 do Porozumienia</w:t>
      </w:r>
      <w:r>
        <w:t>.</w:t>
      </w:r>
    </w:p>
    <w:p w14:paraId="645D9E1C" w14:textId="77777777" w:rsidR="00D64851" w:rsidRDefault="00D64851" w:rsidP="00D64851">
      <w:pPr>
        <w:pStyle w:val="Kolorowalistaakcent11"/>
        <w:ind w:left="426"/>
        <w:jc w:val="both"/>
      </w:pPr>
    </w:p>
    <w:p w14:paraId="76877D3F" w14:textId="77777777" w:rsidR="00D64851" w:rsidRDefault="00D64851" w:rsidP="00C43053">
      <w:pPr>
        <w:pStyle w:val="Kolorowalistaakcent11"/>
        <w:numPr>
          <w:ilvl w:val="0"/>
          <w:numId w:val="7"/>
        </w:numPr>
        <w:ind w:left="426" w:hanging="426"/>
        <w:jc w:val="both"/>
      </w:pPr>
      <w:r>
        <w:t xml:space="preserve">Przesyłanie dokumentów dokonywane będzie </w:t>
      </w:r>
      <w:r w:rsidR="005F151D">
        <w:t xml:space="preserve">odpowiednio </w:t>
      </w:r>
      <w:r>
        <w:t>na adresy</w:t>
      </w:r>
      <w:r w:rsidRPr="00D64851">
        <w:t xml:space="preserve"> </w:t>
      </w:r>
      <w:r>
        <w:t xml:space="preserve">wskazane w Załączniku nr </w:t>
      </w:r>
      <w:r w:rsidR="00DF0644">
        <w:t>2 do Porozumienia</w:t>
      </w:r>
      <w:r>
        <w:t>.</w:t>
      </w:r>
    </w:p>
    <w:p w14:paraId="46DCDB5D" w14:textId="77777777" w:rsidR="00016C02" w:rsidRDefault="00016C02" w:rsidP="00016C02">
      <w:pPr>
        <w:jc w:val="both"/>
      </w:pPr>
    </w:p>
    <w:p w14:paraId="21D853D5" w14:textId="77777777" w:rsidR="00643926" w:rsidRDefault="00C43053" w:rsidP="00C43053">
      <w:pPr>
        <w:pStyle w:val="Kolorowalistaakcent11"/>
        <w:numPr>
          <w:ilvl w:val="0"/>
          <w:numId w:val="7"/>
        </w:numPr>
        <w:ind w:left="426" w:hanging="426"/>
        <w:jc w:val="both"/>
      </w:pPr>
      <w:r w:rsidRPr="00C43053">
        <w:t xml:space="preserve">Zmiana danych adresowych </w:t>
      </w:r>
      <w:r w:rsidR="00C6670F">
        <w:t xml:space="preserve">lub </w:t>
      </w:r>
      <w:r w:rsidR="00C6670F" w:rsidRPr="00C6670F">
        <w:t>os</w:t>
      </w:r>
      <w:r w:rsidR="00C6670F">
        <w:t>ób</w:t>
      </w:r>
      <w:r w:rsidR="00C6670F" w:rsidRPr="00C6670F">
        <w:t xml:space="preserve"> upoważnion</w:t>
      </w:r>
      <w:r w:rsidR="00C6670F">
        <w:t>ych</w:t>
      </w:r>
      <w:r w:rsidR="00C6670F" w:rsidRPr="00C6670F">
        <w:t xml:space="preserve"> przez Strony do realizacji Porozumienia </w:t>
      </w:r>
      <w:r w:rsidRPr="00C43053">
        <w:t>nie wymaga zaw</w:t>
      </w:r>
      <w:r w:rsidR="00C6670F">
        <w:t>a</w:t>
      </w:r>
      <w:r w:rsidRPr="00C43053">
        <w:t>r</w:t>
      </w:r>
      <w:r w:rsidR="00C6670F">
        <w:t>cia</w:t>
      </w:r>
      <w:r w:rsidRPr="00C43053">
        <w:t xml:space="preserve"> aneksu do </w:t>
      </w:r>
      <w:r>
        <w:t>Porozumienia</w:t>
      </w:r>
      <w:r w:rsidR="00DC4D8B">
        <w:t>,</w:t>
      </w:r>
      <w:r w:rsidRPr="00C43053">
        <w:t xml:space="preserve"> a jedynie pisemnego powiadomienia drugiej Strony przed dokonaniem zmiany</w:t>
      </w:r>
      <w:r w:rsidR="003B6FEC">
        <w:t xml:space="preserve"> i obowiązuje od dnia następnego po </w:t>
      </w:r>
      <w:r w:rsidR="00184DED">
        <w:t>doręczeniu</w:t>
      </w:r>
      <w:r w:rsidR="007152E4">
        <w:t xml:space="preserve"> </w:t>
      </w:r>
      <w:r w:rsidR="00694529">
        <w:t>Stron</w:t>
      </w:r>
      <w:r w:rsidR="00184DED">
        <w:t>ie</w:t>
      </w:r>
      <w:r w:rsidR="00A20DB3">
        <w:t xml:space="preserve"> </w:t>
      </w:r>
      <w:r w:rsidR="003B6FEC">
        <w:t>powiadomienia</w:t>
      </w:r>
      <w:r w:rsidR="00694529">
        <w:t xml:space="preserve"> drugiej Strony</w:t>
      </w:r>
      <w:r>
        <w:t>.</w:t>
      </w:r>
    </w:p>
    <w:p w14:paraId="0314CC14" w14:textId="77777777" w:rsidR="00016C02" w:rsidRDefault="00016C02" w:rsidP="00694529">
      <w:pPr>
        <w:ind w:left="567" w:hanging="567"/>
        <w:jc w:val="both"/>
      </w:pPr>
    </w:p>
    <w:p w14:paraId="4FE5C97F" w14:textId="77777777" w:rsidR="00643926" w:rsidRDefault="00643926" w:rsidP="005E6C1C">
      <w:pPr>
        <w:ind w:left="720" w:hanging="720"/>
        <w:jc w:val="center"/>
      </w:pPr>
    </w:p>
    <w:p w14:paraId="3D6FE9C0" w14:textId="77777777" w:rsidR="005D3E1F" w:rsidRDefault="005D3E1F" w:rsidP="005E6C1C">
      <w:pPr>
        <w:spacing w:before="120"/>
        <w:jc w:val="center"/>
        <w:rPr>
          <w:b/>
          <w:bCs/>
        </w:rPr>
      </w:pPr>
      <w:r>
        <w:rPr>
          <w:b/>
          <w:bCs/>
        </w:rPr>
        <w:t>§ 4</w:t>
      </w:r>
    </w:p>
    <w:p w14:paraId="096748B7" w14:textId="77777777" w:rsidR="005D3E1F" w:rsidRDefault="005D3E1F" w:rsidP="004D60A7">
      <w:pPr>
        <w:spacing w:before="120"/>
        <w:jc w:val="center"/>
        <w:rPr>
          <w:b/>
          <w:bCs/>
        </w:rPr>
      </w:pPr>
      <w:r w:rsidRPr="005D3E1F">
        <w:rPr>
          <w:b/>
        </w:rPr>
        <w:t>Klauzula poufności</w:t>
      </w:r>
    </w:p>
    <w:p w14:paraId="5A5D3F6A" w14:textId="77777777" w:rsidR="005D3E1F" w:rsidRPr="005D3E1F" w:rsidRDefault="005D3E1F" w:rsidP="00E422CD">
      <w:pPr>
        <w:spacing w:before="120"/>
        <w:ind w:left="720" w:hanging="12"/>
        <w:jc w:val="both"/>
        <w:rPr>
          <w:b/>
          <w:bCs/>
        </w:rPr>
      </w:pPr>
    </w:p>
    <w:p w14:paraId="4656A26B" w14:textId="77777777" w:rsidR="00E422CD" w:rsidRPr="00D92CA8" w:rsidRDefault="005D3E1F" w:rsidP="004D60A7">
      <w:pPr>
        <w:pStyle w:val="Tekstpodstawowy"/>
        <w:numPr>
          <w:ilvl w:val="0"/>
          <w:numId w:val="14"/>
        </w:numPr>
        <w:tabs>
          <w:tab w:val="clear" w:pos="360"/>
        </w:tabs>
        <w:spacing w:before="120" w:after="0"/>
        <w:ind w:left="357" w:hanging="357"/>
      </w:pPr>
      <w:r w:rsidRPr="00D92CA8">
        <w:t xml:space="preserve">Wszelkie dokumenty, dane </w:t>
      </w:r>
      <w:r w:rsidR="008B6B0F">
        <w:t xml:space="preserve">określone  w </w:t>
      </w:r>
      <w:r w:rsidR="008B6B0F" w:rsidRPr="00DB1680">
        <w:t>§</w:t>
      </w:r>
      <w:r w:rsidR="008B6B0F">
        <w:t xml:space="preserve"> 2 ust. 1 </w:t>
      </w:r>
      <w:r w:rsidRPr="00D92CA8">
        <w:t xml:space="preserve">i inne </w:t>
      </w:r>
      <w:r w:rsidR="00C1082A">
        <w:t xml:space="preserve">wrażliwe </w:t>
      </w:r>
      <w:r w:rsidRPr="00D92CA8">
        <w:t>informacje udostępnione przez Strony w związku z</w:t>
      </w:r>
      <w:r>
        <w:t> </w:t>
      </w:r>
      <w:r w:rsidRPr="00D92CA8">
        <w:t xml:space="preserve">realizacją </w:t>
      </w:r>
      <w:r>
        <w:t>Porozumienia</w:t>
      </w:r>
      <w:r w:rsidRPr="00D92CA8">
        <w:t xml:space="preserve"> mogą być wykorzystane tylko w celu je</w:t>
      </w:r>
      <w:r w:rsidR="00D038B4">
        <w:t>go</w:t>
      </w:r>
      <w:r w:rsidRPr="00D92CA8">
        <w:t xml:space="preserve"> realizacji. Strony będą zachowywać zasadę poufności w stosunku do wszystkich ww. informacji. W okresie obowiązywania Porozumienia oraz po jego wygaśnięciu lub rozwiązaniu, Strony nie będą publikować, przekazywać, ujawniać ani udzielać żadnych informacji, które uzyskały w</w:t>
      </w:r>
      <w:r>
        <w:t> </w:t>
      </w:r>
      <w:r w:rsidRPr="00D92CA8">
        <w:t>związku z jego realizacją.</w:t>
      </w:r>
    </w:p>
    <w:p w14:paraId="04A1C5B5" w14:textId="77777777" w:rsidR="005D3E1F" w:rsidRPr="00D92CA8" w:rsidRDefault="005D3E1F" w:rsidP="004D60A7">
      <w:pPr>
        <w:pStyle w:val="Tekstpodstawowy"/>
        <w:numPr>
          <w:ilvl w:val="0"/>
          <w:numId w:val="14"/>
        </w:numPr>
        <w:tabs>
          <w:tab w:val="clear" w:pos="360"/>
        </w:tabs>
        <w:spacing w:before="120" w:after="0"/>
        <w:ind w:left="357" w:hanging="357"/>
      </w:pPr>
      <w:r w:rsidRPr="00D92CA8">
        <w:t>Postanowienia o poufności, zawarte powyżej, nie będą stanowiły przeszkody dla Stron w</w:t>
      </w:r>
      <w:r>
        <w:t> </w:t>
      </w:r>
      <w:r w:rsidRPr="00D92CA8">
        <w:t>ujawnianiu informacji:</w:t>
      </w:r>
    </w:p>
    <w:p w14:paraId="4D2A5445" w14:textId="77777777" w:rsidR="005D3E1F" w:rsidRPr="00D92CA8" w:rsidRDefault="005D3E1F" w:rsidP="004D60A7">
      <w:pPr>
        <w:pStyle w:val="Tekstpodstawowy"/>
        <w:numPr>
          <w:ilvl w:val="0"/>
          <w:numId w:val="13"/>
        </w:numPr>
        <w:tabs>
          <w:tab w:val="left" w:pos="720"/>
        </w:tabs>
        <w:spacing w:after="0"/>
      </w:pPr>
      <w:r w:rsidRPr="00D92CA8">
        <w:t xml:space="preserve">na której ujawnienie pozostałe Strony wyraziły zgodę, </w:t>
      </w:r>
    </w:p>
    <w:p w14:paraId="6BEFB8A6" w14:textId="77777777" w:rsidR="005D3E1F" w:rsidRPr="00D92CA8" w:rsidRDefault="005D3E1F" w:rsidP="004D60A7">
      <w:pPr>
        <w:pStyle w:val="Tekstpodstawowy"/>
        <w:numPr>
          <w:ilvl w:val="0"/>
          <w:numId w:val="13"/>
        </w:numPr>
        <w:tabs>
          <w:tab w:val="left" w:pos="720"/>
        </w:tabs>
        <w:spacing w:after="0"/>
      </w:pPr>
      <w:r w:rsidRPr="00D92CA8">
        <w:t xml:space="preserve">która należy do informacji powszechnie znanych, </w:t>
      </w:r>
    </w:p>
    <w:p w14:paraId="668BB37C" w14:textId="77777777" w:rsidR="005D3E1F" w:rsidRDefault="005D3E1F" w:rsidP="004D60A7">
      <w:pPr>
        <w:pStyle w:val="Tekstpodstawowy"/>
        <w:numPr>
          <w:ilvl w:val="0"/>
          <w:numId w:val="13"/>
        </w:numPr>
        <w:tabs>
          <w:tab w:val="left" w:pos="720"/>
        </w:tabs>
        <w:spacing w:after="0"/>
      </w:pPr>
      <w:r w:rsidRPr="00D92CA8">
        <w:t>której obowiązek ujawnienia wynika z obowiązujących przepisów prawnych.</w:t>
      </w:r>
    </w:p>
    <w:p w14:paraId="18718D91" w14:textId="77777777" w:rsidR="00E422CD" w:rsidRPr="00D92CA8" w:rsidRDefault="005D3E1F" w:rsidP="004D60A7">
      <w:pPr>
        <w:pStyle w:val="Tekstpodstawowy"/>
        <w:numPr>
          <w:ilvl w:val="0"/>
          <w:numId w:val="14"/>
        </w:numPr>
        <w:tabs>
          <w:tab w:val="clear" w:pos="360"/>
        </w:tabs>
        <w:spacing w:before="120" w:after="0"/>
        <w:ind w:left="357" w:hanging="357"/>
      </w:pPr>
      <w:r w:rsidRPr="00D92CA8">
        <w:t>Strony odpowiadają za podjęcie i zapewnienie wszelkich niezbędnych środków zapewniających dochowanie wyżej wymienionej klauzuli poufności przez swoich pracowników.</w:t>
      </w:r>
    </w:p>
    <w:p w14:paraId="5750AE45" w14:textId="77777777" w:rsidR="00E422CD" w:rsidRPr="007E2851" w:rsidRDefault="005D3E1F" w:rsidP="004D60A7">
      <w:pPr>
        <w:numPr>
          <w:ilvl w:val="0"/>
          <w:numId w:val="14"/>
        </w:numPr>
        <w:spacing w:before="120"/>
        <w:ind w:left="357" w:hanging="357"/>
        <w:jc w:val="both"/>
        <w:rPr>
          <w:color w:val="000000"/>
        </w:rPr>
      </w:pPr>
      <w:r w:rsidRPr="007E2851">
        <w:rPr>
          <w:color w:val="000000"/>
        </w:rPr>
        <w:lastRenderedPageBreak/>
        <w:t>Porozumienie nie obejmuje powierzenia przetwarzania danych osobowych, o którym mowa w </w:t>
      </w:r>
      <w:r w:rsidRPr="004D60A7">
        <w:rPr>
          <w:color w:val="000000"/>
        </w:rPr>
        <w:t>art. 31 ustawy z dnia 29 sierpnia 1997 r. o ochronie danych osobowych (</w:t>
      </w:r>
      <w:proofErr w:type="spellStart"/>
      <w:r w:rsidRPr="004D60A7">
        <w:rPr>
          <w:color w:val="000000"/>
        </w:rPr>
        <w:t>t.j</w:t>
      </w:r>
      <w:proofErr w:type="spellEnd"/>
      <w:r w:rsidRPr="004D60A7">
        <w:rPr>
          <w:color w:val="000000"/>
        </w:rPr>
        <w:t>. Dz.U. z 201</w:t>
      </w:r>
      <w:r w:rsidR="00A842A2">
        <w:rPr>
          <w:color w:val="000000"/>
        </w:rPr>
        <w:t>6</w:t>
      </w:r>
      <w:r w:rsidRPr="004D60A7">
        <w:rPr>
          <w:color w:val="000000"/>
        </w:rPr>
        <w:t xml:space="preserve">, poz. </w:t>
      </w:r>
      <w:r w:rsidR="00A842A2">
        <w:rPr>
          <w:color w:val="000000"/>
        </w:rPr>
        <w:t>92</w:t>
      </w:r>
      <w:r w:rsidRPr="004D60A7">
        <w:rPr>
          <w:color w:val="000000"/>
        </w:rPr>
        <w:t>2)</w:t>
      </w:r>
      <w:r w:rsidRPr="007E2851">
        <w:rPr>
          <w:color w:val="000000"/>
        </w:rPr>
        <w:t>.</w:t>
      </w:r>
    </w:p>
    <w:p w14:paraId="4D3A688E" w14:textId="77777777" w:rsidR="005D3E1F" w:rsidRPr="000E6057" w:rsidRDefault="00D038B4" w:rsidP="004D60A7">
      <w:pPr>
        <w:pStyle w:val="Tekstpodstawowy"/>
        <w:numPr>
          <w:ilvl w:val="0"/>
          <w:numId w:val="14"/>
        </w:numPr>
        <w:tabs>
          <w:tab w:val="clear" w:pos="360"/>
        </w:tabs>
        <w:spacing w:before="120" w:after="0"/>
        <w:ind w:left="357" w:hanging="357"/>
      </w:pPr>
      <w:r w:rsidRPr="00E317C6">
        <w:t>OSD</w:t>
      </w:r>
      <w:r w:rsidR="005D3E1F" w:rsidRPr="00E317C6">
        <w:t xml:space="preserve"> jest spółką zależną spółki </w:t>
      </w:r>
      <w:r w:rsidR="005D3E1F" w:rsidRPr="000E6057">
        <w:t xml:space="preserve">giełdowej </w:t>
      </w:r>
      <w:r w:rsidRPr="000E6057">
        <w:t>…</w:t>
      </w:r>
      <w:r w:rsidRPr="000E6057">
        <w:rPr>
          <w:i/>
        </w:rPr>
        <w:t>ABC</w:t>
      </w:r>
      <w:r w:rsidRPr="000E6057">
        <w:t>…</w:t>
      </w:r>
      <w:r w:rsidR="005D3E1F" w:rsidRPr="000E6057">
        <w:t xml:space="preserve"> zatem, przekazywane w trakcie realizacji Porozumienia informacje mogą stanowić informacje poufne w rozumieniu ustawy z dnia 29 lipca 2005 r. o obrocie instrumentami finansowymi. W związku z powyższym Strony Porozumienia, członkowie ich organów, ich pracownicy, doradcy, osoby pozostające w stosunku zlecenia lub innym stosunku prawnym o podobnym charakterze są zobowiązani do:</w:t>
      </w:r>
    </w:p>
    <w:p w14:paraId="54C9E11B" w14:textId="77777777" w:rsidR="005D3E1F" w:rsidRPr="000E6057" w:rsidRDefault="005D3E1F" w:rsidP="004D60A7">
      <w:pPr>
        <w:pStyle w:val="Tekstpodstawowy"/>
        <w:numPr>
          <w:ilvl w:val="0"/>
          <w:numId w:val="15"/>
        </w:numPr>
        <w:tabs>
          <w:tab w:val="left" w:pos="720"/>
        </w:tabs>
        <w:spacing w:after="0"/>
      </w:pPr>
      <w:r w:rsidRPr="000E6057">
        <w:t>nieujawniania przekazywanych w związku z Porozumieniem informacji („Informacje Zastrzeżone”) oraz</w:t>
      </w:r>
    </w:p>
    <w:p w14:paraId="5FCDBAA0" w14:textId="77777777" w:rsidR="005D3E1F" w:rsidRPr="000E6057" w:rsidRDefault="005D3E1F" w:rsidP="004D60A7">
      <w:pPr>
        <w:pStyle w:val="Tekstpodstawowy"/>
        <w:numPr>
          <w:ilvl w:val="0"/>
          <w:numId w:val="15"/>
        </w:numPr>
        <w:tabs>
          <w:tab w:val="num" w:pos="-2280"/>
          <w:tab w:val="left" w:pos="720"/>
        </w:tabs>
        <w:spacing w:after="0"/>
      </w:pPr>
      <w:r w:rsidRPr="000E6057">
        <w:t xml:space="preserve">wykorzystywania Informacji Zastrzeżonych wyłącznie w celu prowadzenia negocjacji lub realizacji celu wykonania </w:t>
      </w:r>
      <w:r w:rsidR="00D10805" w:rsidRPr="000E6057">
        <w:t>Porozumienia</w:t>
      </w:r>
      <w:r w:rsidRPr="000E6057">
        <w:t>.</w:t>
      </w:r>
    </w:p>
    <w:p w14:paraId="727D6297" w14:textId="77777777" w:rsidR="005D3E1F" w:rsidRPr="000E6057" w:rsidRDefault="005D3E1F" w:rsidP="004D60A7">
      <w:pPr>
        <w:pStyle w:val="Tekstpodstawowy"/>
        <w:ind w:left="360"/>
      </w:pPr>
      <w:r w:rsidRPr="000E6057">
        <w:t xml:space="preserve">Zobowiązanie to wiąże do czasu ujawnienia Informacji Zastrzeżonych przez </w:t>
      </w:r>
      <w:r w:rsidR="00D038B4" w:rsidRPr="000E6057">
        <w:t>…</w:t>
      </w:r>
      <w:r w:rsidR="00D038B4" w:rsidRPr="000E6057">
        <w:rPr>
          <w:i/>
        </w:rPr>
        <w:t>ABC</w:t>
      </w:r>
      <w:r w:rsidR="00D038B4" w:rsidRPr="000E6057">
        <w:t xml:space="preserve">… </w:t>
      </w:r>
      <w:r w:rsidRPr="000E6057">
        <w:t xml:space="preserve">lub otrzymania potwierdzenia od </w:t>
      </w:r>
      <w:r w:rsidR="00D038B4" w:rsidRPr="000E6057">
        <w:t>…</w:t>
      </w:r>
      <w:r w:rsidR="00D038B4" w:rsidRPr="000E6057">
        <w:rPr>
          <w:i/>
        </w:rPr>
        <w:t>ABC</w:t>
      </w:r>
      <w:r w:rsidR="00D038B4" w:rsidRPr="000E6057">
        <w:t xml:space="preserve">…, </w:t>
      </w:r>
      <w:r w:rsidRPr="000E6057">
        <w:t xml:space="preserve">iż żadna z Informacji Zastrzeżonych nie stanowi informacji poufnej. Nieuprawnione ujawnienie Informacji Zastrzeżonych, wykorzystywanie ani dokonywanie na ich podstawie rekomendacji może skutkować odpowiedzialnością przewidzianą w powszechnie obowiązujących przepisach prawa, </w:t>
      </w:r>
      <w:r w:rsidRPr="000E6057">
        <w:br/>
        <w:t>w tym odpowiedzialnością karną.</w:t>
      </w:r>
    </w:p>
    <w:p w14:paraId="4F3C2C39" w14:textId="77777777" w:rsidR="004E1A93" w:rsidRPr="00E317C6" w:rsidRDefault="004E1A93" w:rsidP="004E1A93">
      <w:pPr>
        <w:pStyle w:val="Tekstpodstawowy"/>
        <w:numPr>
          <w:ilvl w:val="0"/>
          <w:numId w:val="14"/>
        </w:numPr>
      </w:pPr>
      <w:r w:rsidRPr="000E6057">
        <w:rPr>
          <w:b/>
        </w:rPr>
        <w:t>Strony</w:t>
      </w:r>
      <w:r w:rsidRPr="000E6057">
        <w:t xml:space="preserve"> oświadczają, iż w związku z posiadaniem przez …</w:t>
      </w:r>
      <w:r w:rsidRPr="000E6057">
        <w:rPr>
          <w:i/>
        </w:rPr>
        <w:t>ABC</w:t>
      </w:r>
      <w:r w:rsidRPr="000E6057">
        <w:t>… – statusu spół</w:t>
      </w:r>
      <w:bookmarkStart w:id="0" w:name="_GoBack"/>
      <w:bookmarkEnd w:id="0"/>
      <w:r w:rsidRPr="000E6057">
        <w:t>ki publicznej oraz spółki dominującej w stosunku do OSD wyrażają zgodę na przekazanie treści tego porozumienia …</w:t>
      </w:r>
      <w:r w:rsidRPr="000E6057">
        <w:rPr>
          <w:i/>
        </w:rPr>
        <w:t>ABC</w:t>
      </w:r>
      <w:r w:rsidRPr="000E6057">
        <w:t>…, w szczególności na potrzeby zgodnego z prawem wykonania przez …</w:t>
      </w:r>
      <w:r w:rsidRPr="000E6057">
        <w:rPr>
          <w:i/>
        </w:rPr>
        <w:t>ABC</w:t>
      </w:r>
      <w:r w:rsidRPr="000E6057">
        <w:t>… obowiązków informacyjnych wynikających z art. 56 ustawy z dnia 29 lipca 2005 roku o ofercie publicznej i warunkach wprowadzania instrumentów finansowych do zorganizowanego systemu obrotu oraz o spółkach publicznych (</w:t>
      </w:r>
      <w:proofErr w:type="spellStart"/>
      <w:r w:rsidRPr="000E6057">
        <w:t>t.j</w:t>
      </w:r>
      <w:proofErr w:type="spellEnd"/>
      <w:r w:rsidRPr="000E6057">
        <w:t xml:space="preserve">. Dz. U. z 2013 roku, poz. 1382 z </w:t>
      </w:r>
      <w:proofErr w:type="spellStart"/>
      <w:r w:rsidRPr="000E6057">
        <w:t>późn</w:t>
      </w:r>
      <w:proofErr w:type="spellEnd"/>
      <w:r w:rsidRPr="000E6057">
        <w:t>. zm.) oraz podawanie do publicznej wiadomości informacji bieżących i okresowych przekazywanych przez emitentów</w:t>
      </w:r>
      <w:r w:rsidRPr="00E317C6">
        <w:t xml:space="preserve"> papierów wartościowych oraz warunków uznawania za równoważne informacji wymaganych przepisami prawa państwa nie będącego państwem członkowskim (</w:t>
      </w:r>
      <w:proofErr w:type="spellStart"/>
      <w:r w:rsidRPr="00E317C6">
        <w:t>t.j</w:t>
      </w:r>
      <w:proofErr w:type="spellEnd"/>
      <w:r w:rsidRPr="00E317C6">
        <w:t xml:space="preserve">. Dz. U. 2014, poz. 133 z </w:t>
      </w:r>
      <w:proofErr w:type="spellStart"/>
      <w:r w:rsidRPr="00E317C6">
        <w:t>późn</w:t>
      </w:r>
      <w:proofErr w:type="spellEnd"/>
      <w:r w:rsidRPr="00E317C6">
        <w:t>. zm.).</w:t>
      </w:r>
    </w:p>
    <w:p w14:paraId="527959CD" w14:textId="77777777" w:rsidR="004E1A93" w:rsidRPr="00D92CA8" w:rsidRDefault="004E1A93" w:rsidP="004D60A7">
      <w:pPr>
        <w:pStyle w:val="Tekstpodstawowy"/>
        <w:ind w:left="360"/>
      </w:pPr>
    </w:p>
    <w:p w14:paraId="1476F82C" w14:textId="77777777" w:rsidR="003B2D5A" w:rsidRDefault="003B2D5A" w:rsidP="004D60A7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5D3E1F">
        <w:rPr>
          <w:b/>
          <w:bCs/>
        </w:rPr>
        <w:t>5</w:t>
      </w:r>
    </w:p>
    <w:p w14:paraId="331B7CA3" w14:textId="77777777" w:rsidR="003B2D5A" w:rsidRDefault="003B2D5A" w:rsidP="003B2D5A">
      <w:pPr>
        <w:spacing w:before="120"/>
        <w:ind w:left="720" w:hanging="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Postanowienie końcowe</w:t>
      </w:r>
      <w:r>
        <w:t xml:space="preserve"> </w:t>
      </w:r>
    </w:p>
    <w:p w14:paraId="40894C16" w14:textId="77777777" w:rsidR="00DB1680" w:rsidRDefault="00DB1680" w:rsidP="003B2D5A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</w:pPr>
      <w:r w:rsidRPr="005D3E1F">
        <w:t xml:space="preserve">Porozumienie </w:t>
      </w:r>
      <w:r>
        <w:t xml:space="preserve">wchodzi w życie z dniem zawarcia i </w:t>
      </w:r>
      <w:r w:rsidRPr="005D3E1F">
        <w:t>zostało zawarte na czas nieokreślony</w:t>
      </w:r>
      <w:r>
        <w:t xml:space="preserve">, z możliwością jego rozwiązania z </w:t>
      </w:r>
      <w:r>
        <w:rPr>
          <w:bCs w:val="0"/>
        </w:rPr>
        <w:t>3</w:t>
      </w:r>
      <w:r>
        <w:t xml:space="preserve"> - miesięcznym okresem wypowiedzenia.</w:t>
      </w:r>
      <w:r w:rsidR="00402120">
        <w:t xml:space="preserve"> W przypadku zmian prawnych skutkujących zaprzestaniem przekazywania danych do Zarządcy Rozliczeń S.A., Porozumienie może zostać rozwiązane z krótszym okresem wypowiedzenia.</w:t>
      </w:r>
    </w:p>
    <w:p w14:paraId="6E38BDC8" w14:textId="77777777" w:rsidR="00DB1680" w:rsidRDefault="00DB1680" w:rsidP="003B2D5A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</w:pPr>
      <w:r w:rsidRPr="00DB1680">
        <w:t xml:space="preserve">Z zastrzeżeniem </w:t>
      </w:r>
      <w:r w:rsidR="005E6C1C" w:rsidRPr="00DB1680">
        <w:t>§</w:t>
      </w:r>
      <w:r w:rsidR="005E6C1C">
        <w:t xml:space="preserve"> 1 ust. </w:t>
      </w:r>
      <w:r w:rsidR="000C0A73">
        <w:t>5</w:t>
      </w:r>
      <w:r w:rsidR="005E6C1C">
        <w:t xml:space="preserve"> i </w:t>
      </w:r>
      <w:r w:rsidRPr="00DB1680">
        <w:t>§</w:t>
      </w:r>
      <w:r>
        <w:t xml:space="preserve"> 3 ust. 4 Porozumienia, </w:t>
      </w:r>
      <w:r w:rsidRPr="00DB1680">
        <w:t xml:space="preserve">wszelkie zmiany </w:t>
      </w:r>
      <w:r>
        <w:t>Porozumienia</w:t>
      </w:r>
      <w:r w:rsidRPr="00DB1680">
        <w:t xml:space="preserve"> dokonywane będą poprzez zawarcie przez Strony aneksu, </w:t>
      </w:r>
      <w:r w:rsidR="004E1A93" w:rsidRPr="004E1A93">
        <w:t xml:space="preserve">w formie pisemnej </w:t>
      </w:r>
      <w:r w:rsidRPr="00DB1680">
        <w:t>pod rygorem nieważności.</w:t>
      </w:r>
    </w:p>
    <w:p w14:paraId="11D5A10A" w14:textId="77777777" w:rsidR="00A73EDB" w:rsidRPr="00A73EDB" w:rsidRDefault="00A73EDB" w:rsidP="003B2D5A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</w:pPr>
      <w:r>
        <w:t>Strony</w:t>
      </w:r>
      <w:r w:rsidRPr="00A73EDB">
        <w:t xml:space="preserve"> </w:t>
      </w:r>
      <w:r>
        <w:t>zobowiązują się wzajemnie do niezwłocznego informowania, o zdarzeniach mogących mieć wpływ na wykonanie Porozumienia.</w:t>
      </w:r>
    </w:p>
    <w:p w14:paraId="4B8FA804" w14:textId="77777777" w:rsidR="003B2D5A" w:rsidRPr="0061213B" w:rsidRDefault="003B2D5A" w:rsidP="003B2D5A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</w:pPr>
      <w:r>
        <w:rPr>
          <w:color w:val="000000"/>
        </w:rPr>
        <w:t>W sprawach nieuregulowanych Porozumieniem stosuje się przepisy</w:t>
      </w:r>
      <w:r w:rsidR="003B6FEC" w:rsidRPr="003B6FEC">
        <w:t xml:space="preserve"> </w:t>
      </w:r>
      <w:r w:rsidR="00A73EDB">
        <w:t>U</w:t>
      </w:r>
      <w:r w:rsidR="003B6FEC" w:rsidRPr="00C038EC">
        <w:t>staw</w:t>
      </w:r>
      <w:r w:rsidR="003B6FEC">
        <w:t>y</w:t>
      </w:r>
      <w:r w:rsidR="00A73EDB">
        <w:t>,</w:t>
      </w:r>
      <w:r w:rsidR="003B6FEC">
        <w:t xml:space="preserve"> ustawy Prawo energetyczne i</w:t>
      </w:r>
      <w:r>
        <w:rPr>
          <w:color w:val="000000"/>
        </w:rPr>
        <w:t xml:space="preserve"> Kodeksu Cywilnego.</w:t>
      </w:r>
    </w:p>
    <w:p w14:paraId="612D81CF" w14:textId="77777777" w:rsidR="003B2D5A" w:rsidRPr="0061213B" w:rsidRDefault="003B2D5A" w:rsidP="003B2D5A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</w:pPr>
      <w:r>
        <w:rPr>
          <w:color w:val="000000"/>
        </w:rPr>
        <w:lastRenderedPageBreak/>
        <w:t>Porozumienie zostało sporządzone w dwóch jednobrzmiących egzemplarzach po jednym dla każdej ze Stron.</w:t>
      </w:r>
    </w:p>
    <w:p w14:paraId="29D9D2AB" w14:textId="77777777" w:rsidR="003B2D5A" w:rsidRDefault="003B2D5A" w:rsidP="003B2D5A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</w:pPr>
      <w:r>
        <w:t>Integra</w:t>
      </w:r>
      <w:r w:rsidR="00B93A39">
        <w:t>lną część Porozumienia stanowią:</w:t>
      </w:r>
    </w:p>
    <w:p w14:paraId="2473B640" w14:textId="77777777" w:rsidR="00184DED" w:rsidRDefault="00184DED" w:rsidP="00843C67">
      <w:pPr>
        <w:pStyle w:val="Nagwek8"/>
        <w:spacing w:before="120"/>
        <w:ind w:left="2127" w:hanging="1702"/>
        <w:rPr>
          <w:color w:val="000000"/>
        </w:rPr>
      </w:pPr>
    </w:p>
    <w:p w14:paraId="06237DB6" w14:textId="77777777" w:rsidR="003B2D5A" w:rsidRDefault="003B2D5A" w:rsidP="00843C67">
      <w:pPr>
        <w:pStyle w:val="Nagwek8"/>
        <w:spacing w:before="120"/>
        <w:ind w:left="2127" w:hanging="1702"/>
        <w:rPr>
          <w:color w:val="000000"/>
        </w:rPr>
      </w:pPr>
      <w:r>
        <w:rPr>
          <w:color w:val="000000"/>
        </w:rPr>
        <w:t xml:space="preserve">Załącznik Nr </w:t>
      </w:r>
      <w:r w:rsidR="00A20DB3">
        <w:rPr>
          <w:color w:val="000000"/>
        </w:rPr>
        <w:t>1</w:t>
      </w:r>
      <w:r>
        <w:rPr>
          <w:color w:val="000000"/>
        </w:rPr>
        <w:t xml:space="preserve"> – </w:t>
      </w:r>
      <w:r w:rsidR="00D962D1">
        <w:rPr>
          <w:color w:val="000000"/>
        </w:rPr>
        <w:t xml:space="preserve">Wykaz </w:t>
      </w:r>
      <w:r w:rsidR="00992339">
        <w:rPr>
          <w:color w:val="000000"/>
        </w:rPr>
        <w:t xml:space="preserve">podmiotów oraz instalacji </w:t>
      </w:r>
      <w:r w:rsidR="007152E4">
        <w:rPr>
          <w:color w:val="000000"/>
        </w:rPr>
        <w:t xml:space="preserve">uprawnionych </w:t>
      </w:r>
      <w:r w:rsidR="00992339">
        <w:rPr>
          <w:color w:val="000000"/>
        </w:rPr>
        <w:t>do pokrywania ujemnego salda</w:t>
      </w:r>
      <w:r w:rsidR="00CA5FFB">
        <w:rPr>
          <w:color w:val="000000"/>
        </w:rPr>
        <w:t xml:space="preserve"> - wzór</w:t>
      </w:r>
      <w:r w:rsidR="007152E4">
        <w:rPr>
          <w:color w:val="000000"/>
        </w:rPr>
        <w:t>,</w:t>
      </w:r>
    </w:p>
    <w:p w14:paraId="1A9A5509" w14:textId="77777777" w:rsidR="00650607" w:rsidRDefault="00650607" w:rsidP="00A20DB3">
      <w:pPr>
        <w:pStyle w:val="Nagwek8"/>
        <w:spacing w:before="120"/>
        <w:ind w:left="2127" w:hanging="1702"/>
        <w:rPr>
          <w:color w:val="000000"/>
        </w:rPr>
      </w:pPr>
      <w:r>
        <w:rPr>
          <w:color w:val="000000"/>
        </w:rPr>
        <w:t xml:space="preserve">Załącznik Nr </w:t>
      </w:r>
      <w:r w:rsidR="00E422CD">
        <w:rPr>
          <w:color w:val="000000"/>
        </w:rPr>
        <w:t>2</w:t>
      </w:r>
      <w:r>
        <w:rPr>
          <w:color w:val="000000"/>
        </w:rPr>
        <w:t xml:space="preserve"> – Dane teleadresowe oraz </w:t>
      </w:r>
      <w:r w:rsidR="00EB45C9">
        <w:rPr>
          <w:color w:val="000000"/>
        </w:rPr>
        <w:t xml:space="preserve">osoby </w:t>
      </w:r>
      <w:r>
        <w:rPr>
          <w:color w:val="000000"/>
        </w:rPr>
        <w:t>upoważnione przez Strony do realizacji Porozumienia</w:t>
      </w:r>
      <w:r w:rsidR="00B93A39">
        <w:rPr>
          <w:color w:val="000000"/>
        </w:rPr>
        <w:t>.</w:t>
      </w:r>
    </w:p>
    <w:p w14:paraId="2DBCEA4D" w14:textId="77777777" w:rsidR="00650607" w:rsidRPr="00650607" w:rsidRDefault="00650607" w:rsidP="00650607"/>
    <w:p w14:paraId="43755002" w14:textId="77777777" w:rsidR="009B55B0" w:rsidRPr="009B55B0" w:rsidRDefault="009B55B0" w:rsidP="009B55B0"/>
    <w:p w14:paraId="068B33DF" w14:textId="77777777" w:rsidR="003B2D5A" w:rsidRDefault="003B2D5A" w:rsidP="003B2D5A">
      <w:pPr>
        <w:jc w:val="both"/>
      </w:pPr>
    </w:p>
    <w:p w14:paraId="2551AF01" w14:textId="77777777" w:rsidR="003B2D5A" w:rsidRDefault="003B2D5A" w:rsidP="003B2D5A">
      <w:pPr>
        <w:jc w:val="both"/>
      </w:pPr>
      <w:r>
        <w:t>W imieniu Zarządcy Rozliczeń S.A.</w:t>
      </w:r>
      <w:r>
        <w:tab/>
      </w:r>
      <w:r>
        <w:tab/>
      </w:r>
      <w:r>
        <w:tab/>
      </w:r>
      <w:r>
        <w:tab/>
      </w:r>
      <w:r w:rsidR="009B55B0">
        <w:t>W imieniu  OSD</w:t>
      </w:r>
      <w:r>
        <w:t xml:space="preserve"> </w:t>
      </w:r>
    </w:p>
    <w:p w14:paraId="49B38DA8" w14:textId="77777777" w:rsidR="003B2D5A" w:rsidRDefault="003B2D5A" w:rsidP="003B2D5A">
      <w:pPr>
        <w:jc w:val="both"/>
      </w:pPr>
    </w:p>
    <w:p w14:paraId="084E4D23" w14:textId="77777777" w:rsidR="003B2D5A" w:rsidRDefault="003B2D5A" w:rsidP="003B2D5A">
      <w:pPr>
        <w:jc w:val="both"/>
      </w:pPr>
    </w:p>
    <w:p w14:paraId="3EF1E8CB" w14:textId="77777777" w:rsidR="003B2D5A" w:rsidRDefault="003B2D5A" w:rsidP="003B2D5A">
      <w:pPr>
        <w:jc w:val="both"/>
      </w:pPr>
    </w:p>
    <w:p w14:paraId="617C8C9C" w14:textId="77777777" w:rsidR="003B2D5A" w:rsidRDefault="003B2D5A" w:rsidP="003B2D5A">
      <w:pPr>
        <w:jc w:val="both"/>
      </w:pPr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  <w:r>
        <w:tab/>
      </w:r>
      <w:r>
        <w:tab/>
      </w:r>
      <w:r>
        <w:tab/>
      </w:r>
      <w:r>
        <w:tab/>
      </w:r>
    </w:p>
    <w:p w14:paraId="022B26D9" w14:textId="77777777" w:rsidR="003B2D5A" w:rsidRDefault="003B2D5A" w:rsidP="003B2D5A">
      <w:pPr>
        <w:ind w:left="4956" w:firstLine="708"/>
        <w:jc w:val="both"/>
      </w:pPr>
      <w:r>
        <w:t>......................................................</w:t>
      </w:r>
    </w:p>
    <w:p w14:paraId="4C7E1511" w14:textId="77777777" w:rsidR="00DC6D03" w:rsidRDefault="00DC6D03"/>
    <w:sectPr w:rsidR="00DC6D03" w:rsidSect="00A60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A6A73" w14:textId="77777777" w:rsidR="00B64B35" w:rsidRDefault="00B64B35">
      <w:r>
        <w:separator/>
      </w:r>
    </w:p>
  </w:endnote>
  <w:endnote w:type="continuationSeparator" w:id="0">
    <w:p w14:paraId="732ED970" w14:textId="77777777" w:rsidR="00B64B35" w:rsidRDefault="00B64B35">
      <w:r>
        <w:continuationSeparator/>
      </w:r>
    </w:p>
  </w:endnote>
  <w:endnote w:type="continuationNotice" w:id="1">
    <w:p w14:paraId="4B861E68" w14:textId="77777777" w:rsidR="00B64B35" w:rsidRDefault="00B64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DDC3B" w14:textId="77777777" w:rsidR="00324002" w:rsidRDefault="00324002" w:rsidP="00DC6D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469BED" w14:textId="77777777" w:rsidR="00324002" w:rsidRDefault="00324002" w:rsidP="00DC6D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944CD" w14:textId="77777777" w:rsidR="00324002" w:rsidRDefault="00324002" w:rsidP="00DC6D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25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C15A51" w14:textId="77777777" w:rsidR="00324002" w:rsidRDefault="00324002" w:rsidP="00DC6D0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9859B" w14:textId="77777777" w:rsidR="00324002" w:rsidRDefault="00324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A4363" w14:textId="77777777" w:rsidR="00B64B35" w:rsidRDefault="00B64B35">
      <w:r>
        <w:separator/>
      </w:r>
    </w:p>
  </w:footnote>
  <w:footnote w:type="continuationSeparator" w:id="0">
    <w:p w14:paraId="3E917AF6" w14:textId="77777777" w:rsidR="00B64B35" w:rsidRDefault="00B64B35">
      <w:r>
        <w:continuationSeparator/>
      </w:r>
    </w:p>
  </w:footnote>
  <w:footnote w:type="continuationNotice" w:id="1">
    <w:p w14:paraId="687120C1" w14:textId="77777777" w:rsidR="00B64B35" w:rsidRDefault="00B64B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B403" w14:textId="77777777" w:rsidR="00324002" w:rsidRDefault="00324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1A4A" w14:textId="77777777" w:rsidR="00324002" w:rsidRDefault="003240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427E" w14:textId="77777777" w:rsidR="00324002" w:rsidRDefault="00324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FFC"/>
    <w:multiLevelType w:val="hybridMultilevel"/>
    <w:tmpl w:val="31120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24BB0"/>
    <w:multiLevelType w:val="hybridMultilevel"/>
    <w:tmpl w:val="63484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1C01"/>
    <w:multiLevelType w:val="hybridMultilevel"/>
    <w:tmpl w:val="92764290"/>
    <w:lvl w:ilvl="0" w:tplc="00B20CA0">
      <w:numFmt w:val="decimalZero"/>
      <w:lvlText w:val="%1-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1A14A9C"/>
    <w:multiLevelType w:val="hybridMultilevel"/>
    <w:tmpl w:val="07F466BE"/>
    <w:lvl w:ilvl="0" w:tplc="21F28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7629E"/>
    <w:multiLevelType w:val="hybridMultilevel"/>
    <w:tmpl w:val="31120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227A4"/>
    <w:multiLevelType w:val="hybridMultilevel"/>
    <w:tmpl w:val="E53EF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C2529"/>
    <w:multiLevelType w:val="hybridMultilevel"/>
    <w:tmpl w:val="A60ED6AE"/>
    <w:lvl w:ilvl="0" w:tplc="F4A60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175B7B"/>
    <w:multiLevelType w:val="hybridMultilevel"/>
    <w:tmpl w:val="41D6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E36BB"/>
    <w:multiLevelType w:val="hybridMultilevel"/>
    <w:tmpl w:val="A644E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47FDE"/>
    <w:multiLevelType w:val="hybridMultilevel"/>
    <w:tmpl w:val="89005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F50"/>
    <w:multiLevelType w:val="hybridMultilevel"/>
    <w:tmpl w:val="047EACE0"/>
    <w:lvl w:ilvl="0" w:tplc="7CFC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A15C5"/>
    <w:multiLevelType w:val="hybridMultilevel"/>
    <w:tmpl w:val="8D0E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3">
    <w:nsid w:val="6F6C56AB"/>
    <w:multiLevelType w:val="hybridMultilevel"/>
    <w:tmpl w:val="363E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926C0"/>
    <w:multiLevelType w:val="hybridMultilevel"/>
    <w:tmpl w:val="9D4CD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5A"/>
    <w:rsid w:val="00016210"/>
    <w:rsid w:val="00016C02"/>
    <w:rsid w:val="00040B56"/>
    <w:rsid w:val="00062328"/>
    <w:rsid w:val="00063FB6"/>
    <w:rsid w:val="0007387F"/>
    <w:rsid w:val="00083C75"/>
    <w:rsid w:val="000A4EAE"/>
    <w:rsid w:val="000A6CD0"/>
    <w:rsid w:val="000A72F3"/>
    <w:rsid w:val="000C0A73"/>
    <w:rsid w:val="000C6EAA"/>
    <w:rsid w:val="000D258A"/>
    <w:rsid w:val="000D7976"/>
    <w:rsid w:val="000E6057"/>
    <w:rsid w:val="000F43CD"/>
    <w:rsid w:val="001108B3"/>
    <w:rsid w:val="0011311B"/>
    <w:rsid w:val="00136225"/>
    <w:rsid w:val="00141C69"/>
    <w:rsid w:val="0015274E"/>
    <w:rsid w:val="00165919"/>
    <w:rsid w:val="00184DED"/>
    <w:rsid w:val="00190F84"/>
    <w:rsid w:val="0019777F"/>
    <w:rsid w:val="001A64B6"/>
    <w:rsid w:val="001F3056"/>
    <w:rsid w:val="002020E4"/>
    <w:rsid w:val="00241889"/>
    <w:rsid w:val="00252B97"/>
    <w:rsid w:val="0027210C"/>
    <w:rsid w:val="0029740A"/>
    <w:rsid w:val="002A33A5"/>
    <w:rsid w:val="002B1692"/>
    <w:rsid w:val="002E22A5"/>
    <w:rsid w:val="002F618E"/>
    <w:rsid w:val="003112A1"/>
    <w:rsid w:val="00313CB1"/>
    <w:rsid w:val="00324002"/>
    <w:rsid w:val="003253DC"/>
    <w:rsid w:val="00347A42"/>
    <w:rsid w:val="003551F8"/>
    <w:rsid w:val="00357ACA"/>
    <w:rsid w:val="003B2D5A"/>
    <w:rsid w:val="003B38BB"/>
    <w:rsid w:val="003B6FEC"/>
    <w:rsid w:val="003D5094"/>
    <w:rsid w:val="003F08BE"/>
    <w:rsid w:val="00402120"/>
    <w:rsid w:val="00402EC5"/>
    <w:rsid w:val="00497F2C"/>
    <w:rsid w:val="004D53A6"/>
    <w:rsid w:val="004D60A7"/>
    <w:rsid w:val="004E1A93"/>
    <w:rsid w:val="00535B14"/>
    <w:rsid w:val="00560F98"/>
    <w:rsid w:val="00567797"/>
    <w:rsid w:val="00586E4E"/>
    <w:rsid w:val="005911ED"/>
    <w:rsid w:val="00592BEC"/>
    <w:rsid w:val="005B2B8A"/>
    <w:rsid w:val="005C744B"/>
    <w:rsid w:val="005D3E1F"/>
    <w:rsid w:val="005E40D1"/>
    <w:rsid w:val="005E6C1C"/>
    <w:rsid w:val="005F061D"/>
    <w:rsid w:val="005F1159"/>
    <w:rsid w:val="005F151D"/>
    <w:rsid w:val="00602E29"/>
    <w:rsid w:val="00630728"/>
    <w:rsid w:val="006317D6"/>
    <w:rsid w:val="006438CB"/>
    <w:rsid w:val="00643926"/>
    <w:rsid w:val="00644D42"/>
    <w:rsid w:val="006454DD"/>
    <w:rsid w:val="00650607"/>
    <w:rsid w:val="006529F9"/>
    <w:rsid w:val="0067161C"/>
    <w:rsid w:val="00687C71"/>
    <w:rsid w:val="00694529"/>
    <w:rsid w:val="006B0183"/>
    <w:rsid w:val="006B1F25"/>
    <w:rsid w:val="006D1DC3"/>
    <w:rsid w:val="006E20CA"/>
    <w:rsid w:val="006E7697"/>
    <w:rsid w:val="006F0FF1"/>
    <w:rsid w:val="006F1AB0"/>
    <w:rsid w:val="007037AD"/>
    <w:rsid w:val="00706A8E"/>
    <w:rsid w:val="007152E4"/>
    <w:rsid w:val="007168F6"/>
    <w:rsid w:val="0074771C"/>
    <w:rsid w:val="007629DF"/>
    <w:rsid w:val="00765E5D"/>
    <w:rsid w:val="0077391D"/>
    <w:rsid w:val="00786603"/>
    <w:rsid w:val="00790B9D"/>
    <w:rsid w:val="007C0709"/>
    <w:rsid w:val="007C4D36"/>
    <w:rsid w:val="007E0B1A"/>
    <w:rsid w:val="007E2851"/>
    <w:rsid w:val="007E2C52"/>
    <w:rsid w:val="0082310B"/>
    <w:rsid w:val="00833814"/>
    <w:rsid w:val="00834881"/>
    <w:rsid w:val="00843C67"/>
    <w:rsid w:val="0085736D"/>
    <w:rsid w:val="008664B8"/>
    <w:rsid w:val="00870F91"/>
    <w:rsid w:val="00891478"/>
    <w:rsid w:val="008B6B0F"/>
    <w:rsid w:val="008E04E5"/>
    <w:rsid w:val="008F4D32"/>
    <w:rsid w:val="00901617"/>
    <w:rsid w:val="00902C04"/>
    <w:rsid w:val="0091432A"/>
    <w:rsid w:val="00926870"/>
    <w:rsid w:val="009357A4"/>
    <w:rsid w:val="00962961"/>
    <w:rsid w:val="00981923"/>
    <w:rsid w:val="009920E6"/>
    <w:rsid w:val="00992339"/>
    <w:rsid w:val="009962C3"/>
    <w:rsid w:val="009A0EAC"/>
    <w:rsid w:val="009A2F30"/>
    <w:rsid w:val="009B55B0"/>
    <w:rsid w:val="009C47D1"/>
    <w:rsid w:val="009D26FA"/>
    <w:rsid w:val="009D3174"/>
    <w:rsid w:val="009F01DF"/>
    <w:rsid w:val="009F42A9"/>
    <w:rsid w:val="00A07544"/>
    <w:rsid w:val="00A07C65"/>
    <w:rsid w:val="00A20DB3"/>
    <w:rsid w:val="00A234E3"/>
    <w:rsid w:val="00A310C5"/>
    <w:rsid w:val="00A36FFD"/>
    <w:rsid w:val="00A43D3E"/>
    <w:rsid w:val="00A6070C"/>
    <w:rsid w:val="00A71BBD"/>
    <w:rsid w:val="00A73EDB"/>
    <w:rsid w:val="00A75B96"/>
    <w:rsid w:val="00A770E6"/>
    <w:rsid w:val="00A83002"/>
    <w:rsid w:val="00A842A2"/>
    <w:rsid w:val="00AA420A"/>
    <w:rsid w:val="00AC4F8F"/>
    <w:rsid w:val="00AD1F0E"/>
    <w:rsid w:val="00AE29BF"/>
    <w:rsid w:val="00B207CE"/>
    <w:rsid w:val="00B22808"/>
    <w:rsid w:val="00B265D6"/>
    <w:rsid w:val="00B30F81"/>
    <w:rsid w:val="00B64B35"/>
    <w:rsid w:val="00B64DE0"/>
    <w:rsid w:val="00B7086C"/>
    <w:rsid w:val="00B8099D"/>
    <w:rsid w:val="00B84341"/>
    <w:rsid w:val="00B9125E"/>
    <w:rsid w:val="00B93A39"/>
    <w:rsid w:val="00B958E2"/>
    <w:rsid w:val="00C038EC"/>
    <w:rsid w:val="00C1082A"/>
    <w:rsid w:val="00C317D6"/>
    <w:rsid w:val="00C36731"/>
    <w:rsid w:val="00C43053"/>
    <w:rsid w:val="00C602EB"/>
    <w:rsid w:val="00C6670F"/>
    <w:rsid w:val="00C74D9A"/>
    <w:rsid w:val="00C85D46"/>
    <w:rsid w:val="00C86F7F"/>
    <w:rsid w:val="00CA2A4A"/>
    <w:rsid w:val="00CA5FFB"/>
    <w:rsid w:val="00CF5F70"/>
    <w:rsid w:val="00D0223C"/>
    <w:rsid w:val="00D038B4"/>
    <w:rsid w:val="00D03C03"/>
    <w:rsid w:val="00D10805"/>
    <w:rsid w:val="00D13D57"/>
    <w:rsid w:val="00D216CC"/>
    <w:rsid w:val="00D30494"/>
    <w:rsid w:val="00D4709D"/>
    <w:rsid w:val="00D4750D"/>
    <w:rsid w:val="00D503B7"/>
    <w:rsid w:val="00D51BC0"/>
    <w:rsid w:val="00D64851"/>
    <w:rsid w:val="00D7207C"/>
    <w:rsid w:val="00D90EA2"/>
    <w:rsid w:val="00D913F7"/>
    <w:rsid w:val="00D962D1"/>
    <w:rsid w:val="00DB01EA"/>
    <w:rsid w:val="00DB1680"/>
    <w:rsid w:val="00DB57F5"/>
    <w:rsid w:val="00DC2FFF"/>
    <w:rsid w:val="00DC44EC"/>
    <w:rsid w:val="00DC4D8B"/>
    <w:rsid w:val="00DC6D03"/>
    <w:rsid w:val="00DE39B9"/>
    <w:rsid w:val="00DF0644"/>
    <w:rsid w:val="00E264E7"/>
    <w:rsid w:val="00E317C6"/>
    <w:rsid w:val="00E345F0"/>
    <w:rsid w:val="00E422CD"/>
    <w:rsid w:val="00E622B5"/>
    <w:rsid w:val="00EB45C9"/>
    <w:rsid w:val="00EC299D"/>
    <w:rsid w:val="00EC2B97"/>
    <w:rsid w:val="00EC5245"/>
    <w:rsid w:val="00ED2015"/>
    <w:rsid w:val="00ED2FC7"/>
    <w:rsid w:val="00EE52F4"/>
    <w:rsid w:val="00EE7ABE"/>
    <w:rsid w:val="00EF4242"/>
    <w:rsid w:val="00F014D2"/>
    <w:rsid w:val="00F16C19"/>
    <w:rsid w:val="00F26E55"/>
    <w:rsid w:val="00F41418"/>
    <w:rsid w:val="00F7056A"/>
    <w:rsid w:val="00F72932"/>
    <w:rsid w:val="00F90C60"/>
    <w:rsid w:val="00F97F12"/>
    <w:rsid w:val="00FA039B"/>
    <w:rsid w:val="00FA3D13"/>
    <w:rsid w:val="00FB09B3"/>
    <w:rsid w:val="00FB3167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8C5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B2D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52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B2D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B2D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eltaViewInsertion">
    <w:name w:val="DeltaView Insertion"/>
    <w:rsid w:val="003B2D5A"/>
    <w:rPr>
      <w:color w:val="0000FF"/>
      <w:spacing w:val="0"/>
      <w:u w:val="double"/>
    </w:rPr>
  </w:style>
  <w:style w:type="paragraph" w:styleId="Tekstpodstawowywcity">
    <w:name w:val="Body Text Indent"/>
    <w:basedOn w:val="Normalny"/>
    <w:link w:val="TekstpodstawowywcityZnak"/>
    <w:rsid w:val="003B2D5A"/>
    <w:pPr>
      <w:spacing w:after="240"/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rsid w:val="003B2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2D5A"/>
    <w:pPr>
      <w:spacing w:after="240"/>
      <w:jc w:val="both"/>
    </w:pPr>
    <w:rPr>
      <w:bCs/>
    </w:rPr>
  </w:style>
  <w:style w:type="character" w:customStyle="1" w:styleId="TekstpodstawowyZnak">
    <w:name w:val="Tekst podstawowy Znak"/>
    <w:link w:val="Tekstpodstawowy"/>
    <w:rsid w:val="003B2D5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2D5A"/>
    <w:pPr>
      <w:spacing w:before="120"/>
      <w:jc w:val="center"/>
    </w:pPr>
    <w:rPr>
      <w:b/>
    </w:rPr>
  </w:style>
  <w:style w:type="character" w:customStyle="1" w:styleId="TytuZnak">
    <w:name w:val="Tytuł Znak"/>
    <w:link w:val="Tytu"/>
    <w:rsid w:val="003B2D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B2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2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2D5A"/>
  </w:style>
  <w:style w:type="paragraph" w:styleId="Tekstpodstawowy2">
    <w:name w:val="Body Text 2"/>
    <w:basedOn w:val="Normalny"/>
    <w:link w:val="Tekstpodstawowy2Znak"/>
    <w:rsid w:val="003B2D5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2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9B55B0"/>
    <w:pPr>
      <w:ind w:left="720"/>
      <w:contextualSpacing/>
    </w:pPr>
  </w:style>
  <w:style w:type="paragraph" w:customStyle="1" w:styleId="Stylwyliczanie">
    <w:name w:val="Styl wyliczanie"/>
    <w:basedOn w:val="Normalny"/>
    <w:rsid w:val="00D503B7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uiPriority w:val="9"/>
    <w:rsid w:val="00694529"/>
    <w:rPr>
      <w:rFonts w:ascii="Cambria" w:eastAsia="MS Gothic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CA2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A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2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A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2A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2A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3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1F30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B2D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52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B2D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B2D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eltaViewInsertion">
    <w:name w:val="DeltaView Insertion"/>
    <w:rsid w:val="003B2D5A"/>
    <w:rPr>
      <w:color w:val="0000FF"/>
      <w:spacing w:val="0"/>
      <w:u w:val="double"/>
    </w:rPr>
  </w:style>
  <w:style w:type="paragraph" w:styleId="Tekstpodstawowywcity">
    <w:name w:val="Body Text Indent"/>
    <w:basedOn w:val="Normalny"/>
    <w:link w:val="TekstpodstawowywcityZnak"/>
    <w:rsid w:val="003B2D5A"/>
    <w:pPr>
      <w:spacing w:after="240"/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rsid w:val="003B2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2D5A"/>
    <w:pPr>
      <w:spacing w:after="240"/>
      <w:jc w:val="both"/>
    </w:pPr>
    <w:rPr>
      <w:bCs/>
    </w:rPr>
  </w:style>
  <w:style w:type="character" w:customStyle="1" w:styleId="TekstpodstawowyZnak">
    <w:name w:val="Tekst podstawowy Znak"/>
    <w:link w:val="Tekstpodstawowy"/>
    <w:rsid w:val="003B2D5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2D5A"/>
    <w:pPr>
      <w:spacing w:before="120"/>
      <w:jc w:val="center"/>
    </w:pPr>
    <w:rPr>
      <w:b/>
    </w:rPr>
  </w:style>
  <w:style w:type="character" w:customStyle="1" w:styleId="TytuZnak">
    <w:name w:val="Tytuł Znak"/>
    <w:link w:val="Tytu"/>
    <w:rsid w:val="003B2D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B2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2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B2D5A"/>
  </w:style>
  <w:style w:type="paragraph" w:styleId="Tekstpodstawowy2">
    <w:name w:val="Body Text 2"/>
    <w:basedOn w:val="Normalny"/>
    <w:link w:val="Tekstpodstawowy2Znak"/>
    <w:rsid w:val="003B2D5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2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9B55B0"/>
    <w:pPr>
      <w:ind w:left="720"/>
      <w:contextualSpacing/>
    </w:pPr>
  </w:style>
  <w:style w:type="paragraph" w:customStyle="1" w:styleId="Stylwyliczanie">
    <w:name w:val="Styl wyliczanie"/>
    <w:basedOn w:val="Normalny"/>
    <w:rsid w:val="00D503B7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uiPriority w:val="9"/>
    <w:rsid w:val="00694529"/>
    <w:rPr>
      <w:rFonts w:ascii="Cambria" w:eastAsia="MS Gothic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CA2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A4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2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A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2A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2A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3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1F30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C5B9-9053-4257-9BBD-E90E4E503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1DDCC-D379-4CB8-90A5-24C4EAE0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9382</Characters>
  <Application>Microsoft Office Word</Application>
  <DocSecurity>0</DocSecurity>
  <Lines>78</Lines>
  <Paragraphs>21</Paragraphs>
  <ScaleCrop>false</ScaleCrop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2016-12-23T08:55:00Z</dcterms:created>
  <dcterms:modified xsi:type="dcterms:W3CDTF">2016-12-23T08:55:00Z</dcterms:modified>
</cp:coreProperties>
</file>